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06CF1C70" w:rsidR="00F700E3" w:rsidRDefault="00AF2F0D" w:rsidP="00930FE0">
      <w:pPr>
        <w:pStyle w:val="Titre"/>
      </w:pPr>
      <w:r>
        <w:rPr>
          <w:noProof/>
        </w:rPr>
        <w:drawing>
          <wp:anchor distT="0" distB="0" distL="114300" distR="114300" simplePos="0" relativeHeight="251659264" behindDoc="0" locked="0" layoutInCell="1" allowOverlap="1" wp14:anchorId="5282A2C5" wp14:editId="095745B7">
            <wp:simplePos x="0" y="0"/>
            <wp:positionH relativeFrom="margin">
              <wp:posOffset>1371600</wp:posOffset>
            </wp:positionH>
            <wp:positionV relativeFrom="topMargin">
              <wp:posOffset>407670</wp:posOffset>
            </wp:positionV>
            <wp:extent cx="1714500" cy="685800"/>
            <wp:effectExtent l="0" t="0" r="0" b="0"/>
            <wp:wrapSquare wrapText="bothSides"/>
            <wp:docPr id="502052886" name="Image 50205288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4500" cy="685800"/>
                    </a:xfrm>
                    <a:prstGeom prst="rect">
                      <a:avLst/>
                    </a:prstGeom>
                  </pic:spPr>
                </pic:pic>
              </a:graphicData>
            </a:graphic>
            <wp14:sizeRelH relativeFrom="margin">
              <wp14:pctWidth>0</wp14:pctWidth>
            </wp14:sizeRelH>
            <wp14:sizeRelV relativeFrom="margin">
              <wp14:pctHeight>0</wp14:pctHeight>
            </wp14:sizeRelV>
          </wp:anchor>
        </w:drawing>
      </w:r>
    </w:p>
    <w:p w14:paraId="546177E7" w14:textId="77777777" w:rsidR="00AF2F0D" w:rsidRPr="00302CA6" w:rsidRDefault="00AF2F0D" w:rsidP="00AF2F0D">
      <w:pPr>
        <w:spacing w:after="0"/>
        <w:jc w:val="center"/>
        <w:rPr>
          <w:rFonts w:asciiTheme="minorHAnsi" w:hAnsiTheme="minorHAnsi" w:cstheme="minorHAnsi"/>
          <w:b/>
          <w:bCs/>
          <w:i/>
          <w:lang w:eastAsia="fr-FR"/>
        </w:rPr>
      </w:pPr>
      <w:r w:rsidRPr="00302CA6">
        <w:rPr>
          <w:rFonts w:asciiTheme="minorHAnsi" w:hAnsiTheme="minorHAnsi" w:cstheme="minorHAnsi"/>
          <w:b/>
          <w:bCs/>
          <w:i/>
          <w:lang w:eastAsia="fr-FR"/>
        </w:rPr>
        <w:t>DIRECTION DE LA PROSPECTIVE ET DE DEVELOPPEMENT</w:t>
      </w:r>
    </w:p>
    <w:p w14:paraId="3A41B0A9" w14:textId="77777777" w:rsidR="00AF2F0D" w:rsidRPr="00302CA6" w:rsidRDefault="00AF2F0D" w:rsidP="00AF2F0D">
      <w:pPr>
        <w:spacing w:after="0"/>
        <w:jc w:val="center"/>
        <w:rPr>
          <w:rFonts w:asciiTheme="minorHAnsi" w:hAnsiTheme="minorHAnsi" w:cstheme="minorHAnsi"/>
          <w:b/>
          <w:bCs/>
          <w:i/>
          <w:lang w:eastAsia="fr-FR"/>
        </w:rPr>
      </w:pPr>
      <w:r w:rsidRPr="00302CA6">
        <w:rPr>
          <w:rFonts w:asciiTheme="minorHAnsi" w:hAnsiTheme="minorHAnsi" w:cstheme="minorHAnsi"/>
          <w:b/>
          <w:bCs/>
          <w:i/>
          <w:lang w:eastAsia="fr-FR"/>
        </w:rPr>
        <w:t>GRAND PORT MARITIME DE GUYANE</w:t>
      </w:r>
    </w:p>
    <w:p w14:paraId="052311C6" w14:textId="77777777" w:rsidR="00AF2F0D" w:rsidRPr="00302CA6" w:rsidRDefault="00AF2F0D" w:rsidP="00AF2F0D">
      <w:pPr>
        <w:keepLines/>
        <w:tabs>
          <w:tab w:val="left" w:pos="567"/>
          <w:tab w:val="left" w:pos="851"/>
          <w:tab w:val="left" w:pos="1134"/>
        </w:tabs>
        <w:spacing w:after="0"/>
        <w:jc w:val="center"/>
        <w:rPr>
          <w:rFonts w:asciiTheme="minorHAnsi" w:hAnsiTheme="minorHAnsi" w:cstheme="minorHAnsi"/>
          <w:b/>
          <w:bCs/>
          <w:i/>
          <w:lang w:eastAsia="fr-FR"/>
        </w:rPr>
      </w:pPr>
      <w:r w:rsidRPr="00302CA6">
        <w:rPr>
          <w:rFonts w:asciiTheme="minorHAnsi" w:hAnsiTheme="minorHAnsi" w:cstheme="minorHAnsi"/>
          <w:b/>
          <w:bCs/>
          <w:i/>
          <w:lang w:eastAsia="fr-FR"/>
        </w:rPr>
        <w:t>ZI de DEGRAD-DES-CANNES</w:t>
      </w:r>
    </w:p>
    <w:p w14:paraId="2D6D8C42" w14:textId="77777777" w:rsidR="00AF2F0D" w:rsidRPr="00302CA6" w:rsidRDefault="00AF2F0D" w:rsidP="00AF2F0D">
      <w:pPr>
        <w:spacing w:after="0"/>
        <w:jc w:val="center"/>
        <w:rPr>
          <w:rFonts w:asciiTheme="minorHAnsi" w:hAnsiTheme="minorHAnsi" w:cstheme="minorHAnsi"/>
          <w:b/>
          <w:bCs/>
          <w:szCs w:val="18"/>
          <w:lang w:eastAsia="fr-FR"/>
        </w:rPr>
      </w:pPr>
      <w:r w:rsidRPr="00302CA6">
        <w:rPr>
          <w:rFonts w:asciiTheme="minorHAnsi" w:hAnsiTheme="minorHAnsi" w:cstheme="minorHAnsi"/>
          <w:b/>
          <w:bCs/>
          <w:i/>
          <w:lang w:eastAsia="fr-FR"/>
        </w:rPr>
        <w:t>97354 REMIRE-MONTJOLY</w:t>
      </w:r>
    </w:p>
    <w:p w14:paraId="513FFDAB" w14:textId="77777777" w:rsidR="00F700E3" w:rsidRDefault="00F700E3" w:rsidP="00930FE0">
      <w:pPr>
        <w:pStyle w:val="Titre"/>
      </w:pPr>
    </w:p>
    <w:p w14:paraId="34AE45A8" w14:textId="77777777" w:rsidR="00F700E3" w:rsidRPr="0081719C" w:rsidRDefault="00F700E3" w:rsidP="00F700E3"/>
    <w:p w14:paraId="1CB2FB40" w14:textId="77777777" w:rsidR="00F700E3" w:rsidRPr="0081719C" w:rsidRDefault="00F700E3" w:rsidP="00F700E3"/>
    <w:tbl>
      <w:tblPr>
        <w:tblpPr w:leftFromText="141" w:rightFromText="141" w:vertAnchor="text" w:horzAnchor="margin" w:tblpY="2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AF2F0D" w:rsidRPr="00AF2F0D" w14:paraId="07D0CE19" w14:textId="77777777" w:rsidTr="00AF2F0D">
        <w:trPr>
          <w:trHeight w:val="832"/>
        </w:trPr>
        <w:tc>
          <w:tcPr>
            <w:tcW w:w="7927" w:type="dxa"/>
            <w:shd w:val="clear" w:color="auto" w:fill="B8CCE4" w:themeFill="accent1" w:themeFillTint="66"/>
          </w:tcPr>
          <w:p w14:paraId="34E2FEB4" w14:textId="77777777" w:rsidR="00AF2F0D" w:rsidRDefault="00AF2F0D" w:rsidP="00AF2F0D">
            <w:pPr>
              <w:rPr>
                <w:rFonts w:asciiTheme="minorHAnsi" w:hAnsiTheme="minorHAnsi" w:cstheme="minorHAnsi"/>
                <w:b/>
                <w:sz w:val="28"/>
                <w:szCs w:val="28"/>
              </w:rPr>
            </w:pPr>
          </w:p>
          <w:p w14:paraId="03521E1B" w14:textId="707F45ED" w:rsidR="00AF2F0D" w:rsidRPr="00AF2F0D" w:rsidRDefault="00AF2F0D" w:rsidP="00AF2F0D">
            <w:pPr>
              <w:jc w:val="center"/>
              <w:rPr>
                <w:rFonts w:asciiTheme="minorHAnsi" w:hAnsiTheme="minorHAnsi" w:cstheme="minorHAnsi"/>
                <w:b/>
                <w:sz w:val="28"/>
                <w:szCs w:val="28"/>
              </w:rPr>
            </w:pPr>
            <w:r w:rsidRPr="00AF2F0D">
              <w:rPr>
                <w:rFonts w:asciiTheme="minorHAnsi" w:hAnsiTheme="minorHAnsi" w:cstheme="minorHAnsi"/>
                <w:b/>
                <w:sz w:val="28"/>
                <w:szCs w:val="28"/>
              </w:rPr>
              <w:t>Cahier des Clauses Techniques Administratives Particulières</w:t>
            </w:r>
          </w:p>
          <w:p w14:paraId="005995B4" w14:textId="77777777" w:rsidR="00AF2F0D" w:rsidRPr="00AF2F0D" w:rsidRDefault="00AF2F0D" w:rsidP="00AF2F0D">
            <w:pPr>
              <w:jc w:val="center"/>
              <w:rPr>
                <w:rFonts w:asciiTheme="minorHAnsi" w:hAnsiTheme="minorHAnsi" w:cstheme="minorHAnsi"/>
                <w:b/>
                <w:sz w:val="28"/>
                <w:szCs w:val="28"/>
              </w:rPr>
            </w:pPr>
            <w:r w:rsidRPr="00AF2F0D">
              <w:rPr>
                <w:rFonts w:asciiTheme="minorHAnsi" w:hAnsiTheme="minorHAnsi" w:cstheme="minorHAnsi"/>
                <w:b/>
                <w:sz w:val="28"/>
                <w:szCs w:val="28"/>
              </w:rPr>
              <w:t>(C.C.A.P)</w:t>
            </w:r>
          </w:p>
        </w:tc>
      </w:tr>
    </w:tbl>
    <w:p w14:paraId="195D8917" w14:textId="77777777" w:rsidR="00F700E3" w:rsidRPr="0081719C" w:rsidRDefault="00F700E3" w:rsidP="00F700E3"/>
    <w:p w14:paraId="3460EBBB" w14:textId="77777777" w:rsidR="00F700E3" w:rsidRPr="00AF2F0D" w:rsidRDefault="00F700E3" w:rsidP="00F700E3">
      <w:pPr>
        <w:pStyle w:val="Corpsdetexte"/>
        <w:rPr>
          <w:rFonts w:asciiTheme="minorHAnsi" w:hAnsiTheme="minorHAnsi" w:cstheme="minorHAnsi"/>
          <w:b/>
          <w:sz w:val="28"/>
          <w:szCs w:val="28"/>
        </w:rPr>
      </w:pPr>
    </w:p>
    <w:p w14:paraId="05403D81" w14:textId="77777777" w:rsidR="00F700E3" w:rsidRPr="00AF2F0D" w:rsidRDefault="00F700E3" w:rsidP="00F700E3">
      <w:pPr>
        <w:rPr>
          <w:rFonts w:asciiTheme="minorHAnsi" w:hAnsiTheme="minorHAnsi" w:cstheme="minorHAnsi"/>
          <w:b/>
          <w:sz w:val="28"/>
          <w:szCs w:val="28"/>
        </w:rPr>
      </w:pPr>
      <w:r w:rsidRPr="00AF2F0D">
        <w:rPr>
          <w:rFonts w:asciiTheme="minorHAnsi" w:hAnsiTheme="minorHAnsi" w:cstheme="minorHAnsi"/>
          <w:b/>
          <w:sz w:val="28"/>
          <w:szCs w:val="28"/>
        </w:rPr>
        <w:tab/>
      </w:r>
    </w:p>
    <w:p w14:paraId="1E1AEB13" w14:textId="77777777" w:rsidR="00F700E3" w:rsidRPr="00AF2F0D" w:rsidRDefault="00F700E3" w:rsidP="00F700E3">
      <w:pPr>
        <w:rPr>
          <w:rFonts w:asciiTheme="minorHAnsi" w:hAnsiTheme="minorHAnsi" w:cstheme="minorHAnsi"/>
          <w:b/>
          <w:sz w:val="28"/>
          <w:szCs w:val="28"/>
        </w:rPr>
      </w:pPr>
      <w:bookmarkStart w:id="0" w:name="_Hlk124941050"/>
    </w:p>
    <w:p w14:paraId="09B9090E" w14:textId="77777777" w:rsidR="00F700E3" w:rsidRPr="00AF2F0D" w:rsidRDefault="00F700E3" w:rsidP="00F700E3">
      <w:pPr>
        <w:rPr>
          <w:rFonts w:asciiTheme="minorHAnsi" w:hAnsiTheme="minorHAnsi" w:cstheme="minorHAnsi"/>
          <w:b/>
          <w:sz w:val="28"/>
          <w:szCs w:val="28"/>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AF2F0D" w14:paraId="6C6DA602" w14:textId="77777777" w:rsidTr="003C7C07">
        <w:tc>
          <w:tcPr>
            <w:tcW w:w="9212" w:type="dxa"/>
            <w:shd w:val="clear" w:color="auto" w:fill="B8CCE4" w:themeFill="accent1" w:themeFillTint="66"/>
          </w:tcPr>
          <w:p w14:paraId="53410341" w14:textId="77777777" w:rsidR="006912B1" w:rsidRPr="00AF2F0D" w:rsidRDefault="006912B1" w:rsidP="006912B1">
            <w:pPr>
              <w:pStyle w:val="En-tte"/>
              <w:ind w:left="-1843"/>
              <w:jc w:val="center"/>
              <w:rPr>
                <w:rFonts w:asciiTheme="minorHAnsi" w:hAnsiTheme="minorHAnsi" w:cstheme="minorHAnsi"/>
                <w:b/>
                <w:bCs/>
                <w:sz w:val="28"/>
                <w:szCs w:val="28"/>
              </w:rPr>
            </w:pPr>
          </w:p>
          <w:p w14:paraId="3FBC865A" w14:textId="77777777" w:rsidR="00371583" w:rsidRPr="00AF2F0D" w:rsidRDefault="00371583" w:rsidP="00371583">
            <w:pPr>
              <w:pStyle w:val="En-tte"/>
              <w:ind w:left="22"/>
              <w:jc w:val="center"/>
              <w:rPr>
                <w:rFonts w:asciiTheme="minorHAnsi" w:hAnsiTheme="minorHAnsi" w:cstheme="minorHAnsi"/>
                <w:b/>
                <w:bCs/>
                <w:sz w:val="28"/>
                <w:szCs w:val="28"/>
              </w:rPr>
            </w:pPr>
            <w:r w:rsidRPr="00AF2F0D">
              <w:rPr>
                <w:rFonts w:asciiTheme="minorHAnsi" w:hAnsiTheme="minorHAnsi" w:cstheme="minorHAnsi"/>
                <w:b/>
                <w:bCs/>
                <w:sz w:val="28"/>
                <w:szCs w:val="28"/>
              </w:rPr>
              <w:t>MISSION D’ÉLABORATION DU SCHEMA DIRECTEUR DU PATRIMOINE NATUREL (S.D.P.N.)</w:t>
            </w:r>
          </w:p>
          <w:p w14:paraId="16FD442D" w14:textId="77777777" w:rsidR="006912B1" w:rsidRDefault="00371583" w:rsidP="00371583">
            <w:pPr>
              <w:pStyle w:val="En-tte"/>
              <w:ind w:left="-120"/>
              <w:jc w:val="center"/>
              <w:rPr>
                <w:rFonts w:asciiTheme="minorHAnsi" w:hAnsiTheme="minorHAnsi" w:cstheme="minorHAnsi"/>
                <w:b/>
                <w:bCs/>
                <w:sz w:val="28"/>
                <w:szCs w:val="28"/>
              </w:rPr>
            </w:pPr>
            <w:r w:rsidRPr="00AF2F0D">
              <w:rPr>
                <w:rFonts w:asciiTheme="minorHAnsi" w:hAnsiTheme="minorHAnsi" w:cstheme="minorHAnsi"/>
                <w:b/>
                <w:bCs/>
                <w:sz w:val="28"/>
                <w:szCs w:val="28"/>
              </w:rPr>
              <w:t xml:space="preserve">GRAND PORT MARITIME DE GUYANE </w:t>
            </w:r>
          </w:p>
          <w:p w14:paraId="750FEB00" w14:textId="77777777" w:rsidR="00AF2F0D" w:rsidRDefault="00AF2F0D" w:rsidP="00371583">
            <w:pPr>
              <w:pStyle w:val="En-tte"/>
              <w:ind w:left="-120"/>
              <w:jc w:val="center"/>
              <w:rPr>
                <w:rFonts w:asciiTheme="minorHAnsi" w:hAnsiTheme="minorHAnsi" w:cstheme="minorHAnsi"/>
                <w:b/>
                <w:bCs/>
                <w:sz w:val="28"/>
                <w:szCs w:val="28"/>
              </w:rPr>
            </w:pPr>
          </w:p>
          <w:p w14:paraId="5035C6FD" w14:textId="5FEF294A" w:rsidR="00AF2F0D" w:rsidRDefault="00AF2F0D" w:rsidP="00371583">
            <w:pPr>
              <w:pStyle w:val="En-tte"/>
              <w:ind w:left="-120"/>
              <w:jc w:val="center"/>
              <w:rPr>
                <w:rFonts w:asciiTheme="minorHAnsi" w:hAnsiTheme="minorHAnsi" w:cstheme="minorHAnsi"/>
                <w:b/>
                <w:bCs/>
                <w:sz w:val="28"/>
                <w:szCs w:val="28"/>
              </w:rPr>
            </w:pPr>
            <w:r>
              <w:rPr>
                <w:rFonts w:asciiTheme="minorHAnsi" w:hAnsiTheme="minorHAnsi" w:cstheme="minorHAnsi"/>
                <w:b/>
                <w:bCs/>
                <w:sz w:val="28"/>
                <w:szCs w:val="28"/>
              </w:rPr>
              <w:t>PAD-03-24</w:t>
            </w:r>
          </w:p>
          <w:p w14:paraId="25ACACCB" w14:textId="2D6D2BCB" w:rsidR="00AF2F0D" w:rsidRPr="00AF2F0D" w:rsidRDefault="00AF2F0D" w:rsidP="00371583">
            <w:pPr>
              <w:pStyle w:val="En-tte"/>
              <w:ind w:left="-120"/>
              <w:jc w:val="center"/>
              <w:rPr>
                <w:rFonts w:asciiTheme="minorHAnsi" w:hAnsiTheme="minorHAnsi" w:cstheme="minorHAnsi"/>
                <w:b/>
                <w:bCs/>
                <w:sz w:val="28"/>
                <w:szCs w:val="28"/>
              </w:rPr>
            </w:pPr>
          </w:p>
        </w:tc>
      </w:tr>
      <w:bookmarkEnd w:id="0"/>
    </w:tbl>
    <w:p w14:paraId="458698C2" w14:textId="77777777" w:rsidR="00F700E3" w:rsidRPr="00AF2F0D" w:rsidRDefault="00F700E3" w:rsidP="00F700E3">
      <w:pPr>
        <w:rPr>
          <w:rFonts w:asciiTheme="minorHAnsi" w:hAnsiTheme="minorHAnsi" w:cstheme="minorHAnsi"/>
          <w:b/>
          <w:sz w:val="28"/>
          <w:szCs w:val="28"/>
        </w:rPr>
      </w:pPr>
    </w:p>
    <w:p w14:paraId="13CC7214" w14:textId="45D057DF" w:rsidR="00AA7022" w:rsidRPr="008E6911" w:rsidRDefault="00F700E3" w:rsidP="007D52FC">
      <w:pPr>
        <w:spacing w:after="200" w:line="276" w:lineRule="auto"/>
        <w:rPr>
          <w:rFonts w:asciiTheme="minorHAnsi" w:hAnsiTheme="minorHAnsi" w:cstheme="minorHAnsi"/>
          <w:b/>
          <w:sz w:val="28"/>
          <w:szCs w:val="28"/>
        </w:rPr>
      </w:pPr>
      <w:r w:rsidRPr="008E6911">
        <w:rPr>
          <w:rFonts w:asciiTheme="minorHAnsi" w:hAnsiTheme="minorHAnsi" w:cstheme="minorHAnsi"/>
          <w:b/>
          <w:sz w:val="28"/>
          <w:szCs w:val="28"/>
        </w:rPr>
        <w:br w:type="page"/>
      </w:r>
      <w:bookmarkStart w:id="1" w:name="_Hlk49864682"/>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74E62F57" w14:textId="77777777" w:rsidR="002B4816" w:rsidRDefault="002B4816" w:rsidP="00394727">
          <w:pPr>
            <w:pStyle w:val="En-ttedetabledesmatires"/>
            <w:numPr>
              <w:ilvl w:val="0"/>
              <w:numId w:val="0"/>
            </w:numPr>
            <w:rPr>
              <w:rFonts w:eastAsiaTheme="minorHAnsi"/>
            </w:rPr>
          </w:pPr>
        </w:p>
        <w:p w14:paraId="2EC31753" w14:textId="3DB3231A" w:rsidR="00AA7022" w:rsidRDefault="00AA7022" w:rsidP="00394727">
          <w:pPr>
            <w:pStyle w:val="En-ttedetabledesmatires"/>
            <w:numPr>
              <w:ilvl w:val="0"/>
              <w:numId w:val="0"/>
            </w:numPr>
          </w:pPr>
          <w:r>
            <w:t>Table des matières</w:t>
          </w:r>
        </w:p>
        <w:p w14:paraId="1B4D1DC6" w14:textId="065F95D9" w:rsidR="00534815"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208220908" w:history="1">
            <w:r w:rsidR="00534815" w:rsidRPr="00617EF0">
              <w:rPr>
                <w:rStyle w:val="Lienhypertexte"/>
                <w:noProof/>
              </w:rPr>
              <w:t>Article I.</w:t>
            </w:r>
            <w:r w:rsidR="00534815">
              <w:rPr>
                <w:rFonts w:asciiTheme="minorHAnsi" w:eastAsiaTheme="minorEastAsia" w:hAnsiTheme="minorHAnsi" w:cstheme="minorBidi"/>
                <w:b w:val="0"/>
                <w:bCs w:val="0"/>
                <w:i w:val="0"/>
                <w:iCs w:val="0"/>
                <w:noProof/>
                <w:kern w:val="2"/>
                <w:lang w:val="fr-BE" w:eastAsia="fr-BE"/>
                <w14:ligatures w14:val="standardContextual"/>
              </w:rPr>
              <w:tab/>
            </w:r>
            <w:r w:rsidR="00534815" w:rsidRPr="00617EF0">
              <w:rPr>
                <w:rStyle w:val="Lienhypertexte"/>
                <w:noProof/>
              </w:rPr>
              <w:t>OBJET DU MARCHE</w:t>
            </w:r>
            <w:r w:rsidR="00534815">
              <w:rPr>
                <w:noProof/>
                <w:webHidden/>
              </w:rPr>
              <w:tab/>
            </w:r>
            <w:r w:rsidR="00534815">
              <w:rPr>
                <w:noProof/>
                <w:webHidden/>
              </w:rPr>
              <w:fldChar w:fldCharType="begin"/>
            </w:r>
            <w:r w:rsidR="00534815">
              <w:rPr>
                <w:noProof/>
                <w:webHidden/>
              </w:rPr>
              <w:instrText xml:space="preserve"> PAGEREF _Toc208220908 \h </w:instrText>
            </w:r>
            <w:r w:rsidR="00534815">
              <w:rPr>
                <w:noProof/>
                <w:webHidden/>
              </w:rPr>
            </w:r>
            <w:r w:rsidR="00534815">
              <w:rPr>
                <w:noProof/>
                <w:webHidden/>
              </w:rPr>
              <w:fldChar w:fldCharType="separate"/>
            </w:r>
            <w:r w:rsidR="00534815">
              <w:rPr>
                <w:noProof/>
                <w:webHidden/>
              </w:rPr>
              <w:t>3</w:t>
            </w:r>
            <w:r w:rsidR="00534815">
              <w:rPr>
                <w:noProof/>
                <w:webHidden/>
              </w:rPr>
              <w:fldChar w:fldCharType="end"/>
            </w:r>
          </w:hyperlink>
        </w:p>
        <w:p w14:paraId="787BE568" w14:textId="6ED5E271"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09" w:history="1">
            <w:r w:rsidRPr="00617EF0">
              <w:rPr>
                <w:rStyle w:val="Lienhypertexte"/>
                <w:noProof/>
              </w:rPr>
              <w:t>Section 1.01</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Partie contractante</w:t>
            </w:r>
            <w:r>
              <w:rPr>
                <w:noProof/>
                <w:webHidden/>
              </w:rPr>
              <w:tab/>
            </w:r>
            <w:r>
              <w:rPr>
                <w:noProof/>
                <w:webHidden/>
              </w:rPr>
              <w:fldChar w:fldCharType="begin"/>
            </w:r>
            <w:r>
              <w:rPr>
                <w:noProof/>
                <w:webHidden/>
              </w:rPr>
              <w:instrText xml:space="preserve"> PAGEREF _Toc208220909 \h </w:instrText>
            </w:r>
            <w:r>
              <w:rPr>
                <w:noProof/>
                <w:webHidden/>
              </w:rPr>
            </w:r>
            <w:r>
              <w:rPr>
                <w:noProof/>
                <w:webHidden/>
              </w:rPr>
              <w:fldChar w:fldCharType="separate"/>
            </w:r>
            <w:r>
              <w:rPr>
                <w:noProof/>
                <w:webHidden/>
              </w:rPr>
              <w:t>3</w:t>
            </w:r>
            <w:r>
              <w:rPr>
                <w:noProof/>
                <w:webHidden/>
              </w:rPr>
              <w:fldChar w:fldCharType="end"/>
            </w:r>
          </w:hyperlink>
        </w:p>
        <w:p w14:paraId="441CB4A0" w14:textId="6ED62B50"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0" w:history="1">
            <w:r w:rsidRPr="00617EF0">
              <w:rPr>
                <w:rStyle w:val="Lienhypertexte"/>
                <w:noProof/>
              </w:rPr>
              <w:t>Section 1.02</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Objet du marché</w:t>
            </w:r>
            <w:r>
              <w:rPr>
                <w:noProof/>
                <w:webHidden/>
              </w:rPr>
              <w:tab/>
            </w:r>
            <w:r>
              <w:rPr>
                <w:noProof/>
                <w:webHidden/>
              </w:rPr>
              <w:fldChar w:fldCharType="begin"/>
            </w:r>
            <w:r>
              <w:rPr>
                <w:noProof/>
                <w:webHidden/>
              </w:rPr>
              <w:instrText xml:space="preserve"> PAGEREF _Toc208220910 \h </w:instrText>
            </w:r>
            <w:r>
              <w:rPr>
                <w:noProof/>
                <w:webHidden/>
              </w:rPr>
            </w:r>
            <w:r>
              <w:rPr>
                <w:noProof/>
                <w:webHidden/>
              </w:rPr>
              <w:fldChar w:fldCharType="separate"/>
            </w:r>
            <w:r>
              <w:rPr>
                <w:noProof/>
                <w:webHidden/>
              </w:rPr>
              <w:t>3</w:t>
            </w:r>
            <w:r>
              <w:rPr>
                <w:noProof/>
                <w:webHidden/>
              </w:rPr>
              <w:fldChar w:fldCharType="end"/>
            </w:r>
          </w:hyperlink>
        </w:p>
        <w:p w14:paraId="1C4A430E" w14:textId="5E8EF1D4"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1" w:history="1">
            <w:r w:rsidRPr="00617EF0">
              <w:rPr>
                <w:rStyle w:val="Lienhypertexte"/>
                <w:noProof/>
              </w:rPr>
              <w:t>Section 1.03</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Forme du marché</w:t>
            </w:r>
            <w:r>
              <w:rPr>
                <w:noProof/>
                <w:webHidden/>
              </w:rPr>
              <w:tab/>
            </w:r>
            <w:r>
              <w:rPr>
                <w:noProof/>
                <w:webHidden/>
              </w:rPr>
              <w:fldChar w:fldCharType="begin"/>
            </w:r>
            <w:r>
              <w:rPr>
                <w:noProof/>
                <w:webHidden/>
              </w:rPr>
              <w:instrText xml:space="preserve"> PAGEREF _Toc208220911 \h </w:instrText>
            </w:r>
            <w:r>
              <w:rPr>
                <w:noProof/>
                <w:webHidden/>
              </w:rPr>
            </w:r>
            <w:r>
              <w:rPr>
                <w:noProof/>
                <w:webHidden/>
              </w:rPr>
              <w:fldChar w:fldCharType="separate"/>
            </w:r>
            <w:r>
              <w:rPr>
                <w:noProof/>
                <w:webHidden/>
              </w:rPr>
              <w:t>4</w:t>
            </w:r>
            <w:r>
              <w:rPr>
                <w:noProof/>
                <w:webHidden/>
              </w:rPr>
              <w:fldChar w:fldCharType="end"/>
            </w:r>
          </w:hyperlink>
        </w:p>
        <w:p w14:paraId="67FB3D43" w14:textId="32E4B55B"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2" w:history="1">
            <w:r w:rsidRPr="00617EF0">
              <w:rPr>
                <w:rStyle w:val="Lienhypertexte"/>
                <w:noProof/>
              </w:rPr>
              <w:t>Section 1.04</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Montant maximum</w:t>
            </w:r>
            <w:r>
              <w:rPr>
                <w:noProof/>
                <w:webHidden/>
              </w:rPr>
              <w:tab/>
            </w:r>
            <w:r>
              <w:rPr>
                <w:noProof/>
                <w:webHidden/>
              </w:rPr>
              <w:fldChar w:fldCharType="begin"/>
            </w:r>
            <w:r>
              <w:rPr>
                <w:noProof/>
                <w:webHidden/>
              </w:rPr>
              <w:instrText xml:space="preserve"> PAGEREF _Toc208220912 \h </w:instrText>
            </w:r>
            <w:r>
              <w:rPr>
                <w:noProof/>
                <w:webHidden/>
              </w:rPr>
            </w:r>
            <w:r>
              <w:rPr>
                <w:noProof/>
                <w:webHidden/>
              </w:rPr>
              <w:fldChar w:fldCharType="separate"/>
            </w:r>
            <w:r>
              <w:rPr>
                <w:noProof/>
                <w:webHidden/>
              </w:rPr>
              <w:t>4</w:t>
            </w:r>
            <w:r>
              <w:rPr>
                <w:noProof/>
                <w:webHidden/>
              </w:rPr>
              <w:fldChar w:fldCharType="end"/>
            </w:r>
          </w:hyperlink>
        </w:p>
        <w:p w14:paraId="2C6A10A1" w14:textId="3AC2E53D"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3" w:history="1">
            <w:r w:rsidRPr="00617EF0">
              <w:rPr>
                <w:rStyle w:val="Lienhypertexte"/>
                <w:noProof/>
              </w:rPr>
              <w:t>Section 1.05</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Durée</w:t>
            </w:r>
            <w:r>
              <w:rPr>
                <w:noProof/>
                <w:webHidden/>
              </w:rPr>
              <w:tab/>
            </w:r>
            <w:r>
              <w:rPr>
                <w:noProof/>
                <w:webHidden/>
              </w:rPr>
              <w:fldChar w:fldCharType="begin"/>
            </w:r>
            <w:r>
              <w:rPr>
                <w:noProof/>
                <w:webHidden/>
              </w:rPr>
              <w:instrText xml:space="preserve"> PAGEREF _Toc208220913 \h </w:instrText>
            </w:r>
            <w:r>
              <w:rPr>
                <w:noProof/>
                <w:webHidden/>
              </w:rPr>
            </w:r>
            <w:r>
              <w:rPr>
                <w:noProof/>
                <w:webHidden/>
              </w:rPr>
              <w:fldChar w:fldCharType="separate"/>
            </w:r>
            <w:r>
              <w:rPr>
                <w:noProof/>
                <w:webHidden/>
              </w:rPr>
              <w:t>4</w:t>
            </w:r>
            <w:r>
              <w:rPr>
                <w:noProof/>
                <w:webHidden/>
              </w:rPr>
              <w:fldChar w:fldCharType="end"/>
            </w:r>
          </w:hyperlink>
        </w:p>
        <w:p w14:paraId="7C0CA96E" w14:textId="1590134A"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4" w:history="1">
            <w:r w:rsidRPr="00617EF0">
              <w:rPr>
                <w:rStyle w:val="Lienhypertexte"/>
                <w:noProof/>
              </w:rPr>
              <w:t>Section 1.06</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Renouvellement</w:t>
            </w:r>
            <w:r>
              <w:rPr>
                <w:noProof/>
                <w:webHidden/>
              </w:rPr>
              <w:tab/>
            </w:r>
            <w:r>
              <w:rPr>
                <w:noProof/>
                <w:webHidden/>
              </w:rPr>
              <w:fldChar w:fldCharType="begin"/>
            </w:r>
            <w:r>
              <w:rPr>
                <w:noProof/>
                <w:webHidden/>
              </w:rPr>
              <w:instrText xml:space="preserve"> PAGEREF _Toc208220914 \h </w:instrText>
            </w:r>
            <w:r>
              <w:rPr>
                <w:noProof/>
                <w:webHidden/>
              </w:rPr>
            </w:r>
            <w:r>
              <w:rPr>
                <w:noProof/>
                <w:webHidden/>
              </w:rPr>
              <w:fldChar w:fldCharType="separate"/>
            </w:r>
            <w:r>
              <w:rPr>
                <w:noProof/>
                <w:webHidden/>
              </w:rPr>
              <w:t>4</w:t>
            </w:r>
            <w:r>
              <w:rPr>
                <w:noProof/>
                <w:webHidden/>
              </w:rPr>
              <w:fldChar w:fldCharType="end"/>
            </w:r>
          </w:hyperlink>
        </w:p>
        <w:p w14:paraId="0CCCE2F7" w14:textId="749BBFAF" w:rsidR="00534815" w:rsidRDefault="0053481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15" w:history="1">
            <w:r w:rsidRPr="00617EF0">
              <w:rPr>
                <w:rStyle w:val="Lienhypertexte"/>
                <w:noProof/>
              </w:rPr>
              <w:t>Article II.</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rPr>
              <w:t>PIECES CONSTITUTIVES DU MARCHE</w:t>
            </w:r>
            <w:r>
              <w:rPr>
                <w:noProof/>
                <w:webHidden/>
              </w:rPr>
              <w:tab/>
            </w:r>
            <w:r>
              <w:rPr>
                <w:noProof/>
                <w:webHidden/>
              </w:rPr>
              <w:fldChar w:fldCharType="begin"/>
            </w:r>
            <w:r>
              <w:rPr>
                <w:noProof/>
                <w:webHidden/>
              </w:rPr>
              <w:instrText xml:space="preserve"> PAGEREF _Toc208220915 \h </w:instrText>
            </w:r>
            <w:r>
              <w:rPr>
                <w:noProof/>
                <w:webHidden/>
              </w:rPr>
            </w:r>
            <w:r>
              <w:rPr>
                <w:noProof/>
                <w:webHidden/>
              </w:rPr>
              <w:fldChar w:fldCharType="separate"/>
            </w:r>
            <w:r>
              <w:rPr>
                <w:noProof/>
                <w:webHidden/>
              </w:rPr>
              <w:t>4</w:t>
            </w:r>
            <w:r>
              <w:rPr>
                <w:noProof/>
                <w:webHidden/>
              </w:rPr>
              <w:fldChar w:fldCharType="end"/>
            </w:r>
          </w:hyperlink>
        </w:p>
        <w:p w14:paraId="2B2BD6E7" w14:textId="5634EFBA"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6" w:history="1">
            <w:r w:rsidRPr="00617EF0">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Les Pièces particulières</w:t>
            </w:r>
            <w:r>
              <w:rPr>
                <w:noProof/>
                <w:webHidden/>
              </w:rPr>
              <w:tab/>
            </w:r>
            <w:r>
              <w:rPr>
                <w:noProof/>
                <w:webHidden/>
              </w:rPr>
              <w:fldChar w:fldCharType="begin"/>
            </w:r>
            <w:r>
              <w:rPr>
                <w:noProof/>
                <w:webHidden/>
              </w:rPr>
              <w:instrText xml:space="preserve"> PAGEREF _Toc208220916 \h </w:instrText>
            </w:r>
            <w:r>
              <w:rPr>
                <w:noProof/>
                <w:webHidden/>
              </w:rPr>
            </w:r>
            <w:r>
              <w:rPr>
                <w:noProof/>
                <w:webHidden/>
              </w:rPr>
              <w:fldChar w:fldCharType="separate"/>
            </w:r>
            <w:r>
              <w:rPr>
                <w:noProof/>
                <w:webHidden/>
              </w:rPr>
              <w:t>4</w:t>
            </w:r>
            <w:r>
              <w:rPr>
                <w:noProof/>
                <w:webHidden/>
              </w:rPr>
              <w:fldChar w:fldCharType="end"/>
            </w:r>
          </w:hyperlink>
        </w:p>
        <w:p w14:paraId="4BE02619" w14:textId="198B87E1"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7" w:history="1">
            <w:r w:rsidRPr="00617EF0">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Les pièces générales (*)</w:t>
            </w:r>
            <w:r>
              <w:rPr>
                <w:noProof/>
                <w:webHidden/>
              </w:rPr>
              <w:tab/>
            </w:r>
            <w:r>
              <w:rPr>
                <w:noProof/>
                <w:webHidden/>
              </w:rPr>
              <w:fldChar w:fldCharType="begin"/>
            </w:r>
            <w:r>
              <w:rPr>
                <w:noProof/>
                <w:webHidden/>
              </w:rPr>
              <w:instrText xml:space="preserve"> PAGEREF _Toc208220917 \h </w:instrText>
            </w:r>
            <w:r>
              <w:rPr>
                <w:noProof/>
                <w:webHidden/>
              </w:rPr>
            </w:r>
            <w:r>
              <w:rPr>
                <w:noProof/>
                <w:webHidden/>
              </w:rPr>
              <w:fldChar w:fldCharType="separate"/>
            </w:r>
            <w:r>
              <w:rPr>
                <w:noProof/>
                <w:webHidden/>
              </w:rPr>
              <w:t>5</w:t>
            </w:r>
            <w:r>
              <w:rPr>
                <w:noProof/>
                <w:webHidden/>
              </w:rPr>
              <w:fldChar w:fldCharType="end"/>
            </w:r>
          </w:hyperlink>
        </w:p>
        <w:p w14:paraId="7122602D" w14:textId="2B36B4B2" w:rsidR="00534815" w:rsidRDefault="0053481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18" w:history="1">
            <w:r w:rsidRPr="00617EF0">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rPr>
              <w:t>PRIX – REVISION DES PRIX</w:t>
            </w:r>
            <w:r>
              <w:rPr>
                <w:noProof/>
                <w:webHidden/>
              </w:rPr>
              <w:tab/>
            </w:r>
            <w:r>
              <w:rPr>
                <w:noProof/>
                <w:webHidden/>
              </w:rPr>
              <w:fldChar w:fldCharType="begin"/>
            </w:r>
            <w:r>
              <w:rPr>
                <w:noProof/>
                <w:webHidden/>
              </w:rPr>
              <w:instrText xml:space="preserve"> PAGEREF _Toc208220918 \h </w:instrText>
            </w:r>
            <w:r>
              <w:rPr>
                <w:noProof/>
                <w:webHidden/>
              </w:rPr>
            </w:r>
            <w:r>
              <w:rPr>
                <w:noProof/>
                <w:webHidden/>
              </w:rPr>
              <w:fldChar w:fldCharType="separate"/>
            </w:r>
            <w:r>
              <w:rPr>
                <w:noProof/>
                <w:webHidden/>
              </w:rPr>
              <w:t>5</w:t>
            </w:r>
            <w:r>
              <w:rPr>
                <w:noProof/>
                <w:webHidden/>
              </w:rPr>
              <w:fldChar w:fldCharType="end"/>
            </w:r>
          </w:hyperlink>
        </w:p>
        <w:p w14:paraId="4ED0890C" w14:textId="6EEFF9CE"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19" w:history="1">
            <w:r w:rsidRPr="00617EF0">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Formes des prix</w:t>
            </w:r>
            <w:r>
              <w:rPr>
                <w:noProof/>
                <w:webHidden/>
              </w:rPr>
              <w:tab/>
            </w:r>
            <w:r>
              <w:rPr>
                <w:noProof/>
                <w:webHidden/>
              </w:rPr>
              <w:fldChar w:fldCharType="begin"/>
            </w:r>
            <w:r>
              <w:rPr>
                <w:noProof/>
                <w:webHidden/>
              </w:rPr>
              <w:instrText xml:space="preserve"> PAGEREF _Toc208220919 \h </w:instrText>
            </w:r>
            <w:r>
              <w:rPr>
                <w:noProof/>
                <w:webHidden/>
              </w:rPr>
            </w:r>
            <w:r>
              <w:rPr>
                <w:noProof/>
                <w:webHidden/>
              </w:rPr>
              <w:fldChar w:fldCharType="separate"/>
            </w:r>
            <w:r>
              <w:rPr>
                <w:noProof/>
                <w:webHidden/>
              </w:rPr>
              <w:t>5</w:t>
            </w:r>
            <w:r>
              <w:rPr>
                <w:noProof/>
                <w:webHidden/>
              </w:rPr>
              <w:fldChar w:fldCharType="end"/>
            </w:r>
          </w:hyperlink>
        </w:p>
        <w:p w14:paraId="31265E03" w14:textId="08DF1AD1"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20" w:history="1">
            <w:r w:rsidRPr="00617EF0">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Structuration des phases</w:t>
            </w:r>
            <w:r>
              <w:rPr>
                <w:noProof/>
                <w:webHidden/>
              </w:rPr>
              <w:tab/>
            </w:r>
            <w:r>
              <w:rPr>
                <w:noProof/>
                <w:webHidden/>
              </w:rPr>
              <w:fldChar w:fldCharType="begin"/>
            </w:r>
            <w:r>
              <w:rPr>
                <w:noProof/>
                <w:webHidden/>
              </w:rPr>
              <w:instrText xml:space="preserve"> PAGEREF _Toc208220920 \h </w:instrText>
            </w:r>
            <w:r>
              <w:rPr>
                <w:noProof/>
                <w:webHidden/>
              </w:rPr>
            </w:r>
            <w:r>
              <w:rPr>
                <w:noProof/>
                <w:webHidden/>
              </w:rPr>
              <w:fldChar w:fldCharType="separate"/>
            </w:r>
            <w:r>
              <w:rPr>
                <w:noProof/>
                <w:webHidden/>
              </w:rPr>
              <w:t>5</w:t>
            </w:r>
            <w:r>
              <w:rPr>
                <w:noProof/>
                <w:webHidden/>
              </w:rPr>
              <w:fldChar w:fldCharType="end"/>
            </w:r>
          </w:hyperlink>
        </w:p>
        <w:p w14:paraId="27F16BF6" w14:textId="1460F12C"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21" w:history="1">
            <w:r w:rsidRPr="00617EF0">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Contenu des prix</w:t>
            </w:r>
            <w:r>
              <w:rPr>
                <w:noProof/>
                <w:webHidden/>
              </w:rPr>
              <w:tab/>
            </w:r>
            <w:r>
              <w:rPr>
                <w:noProof/>
                <w:webHidden/>
              </w:rPr>
              <w:fldChar w:fldCharType="begin"/>
            </w:r>
            <w:r>
              <w:rPr>
                <w:noProof/>
                <w:webHidden/>
              </w:rPr>
              <w:instrText xml:space="preserve"> PAGEREF _Toc208220921 \h </w:instrText>
            </w:r>
            <w:r>
              <w:rPr>
                <w:noProof/>
                <w:webHidden/>
              </w:rPr>
            </w:r>
            <w:r>
              <w:rPr>
                <w:noProof/>
                <w:webHidden/>
              </w:rPr>
              <w:fldChar w:fldCharType="separate"/>
            </w:r>
            <w:r>
              <w:rPr>
                <w:noProof/>
                <w:webHidden/>
              </w:rPr>
              <w:t>6</w:t>
            </w:r>
            <w:r>
              <w:rPr>
                <w:noProof/>
                <w:webHidden/>
              </w:rPr>
              <w:fldChar w:fldCharType="end"/>
            </w:r>
          </w:hyperlink>
        </w:p>
        <w:p w14:paraId="73C79228" w14:textId="322CD76F"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22" w:history="1">
            <w:r w:rsidRPr="00617EF0">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Révision des prix</w:t>
            </w:r>
            <w:r>
              <w:rPr>
                <w:noProof/>
                <w:webHidden/>
              </w:rPr>
              <w:tab/>
            </w:r>
            <w:r>
              <w:rPr>
                <w:noProof/>
                <w:webHidden/>
              </w:rPr>
              <w:fldChar w:fldCharType="begin"/>
            </w:r>
            <w:r>
              <w:rPr>
                <w:noProof/>
                <w:webHidden/>
              </w:rPr>
              <w:instrText xml:space="preserve"> PAGEREF _Toc208220922 \h </w:instrText>
            </w:r>
            <w:r>
              <w:rPr>
                <w:noProof/>
                <w:webHidden/>
              </w:rPr>
            </w:r>
            <w:r>
              <w:rPr>
                <w:noProof/>
                <w:webHidden/>
              </w:rPr>
              <w:fldChar w:fldCharType="separate"/>
            </w:r>
            <w:r>
              <w:rPr>
                <w:noProof/>
                <w:webHidden/>
              </w:rPr>
              <w:t>6</w:t>
            </w:r>
            <w:r>
              <w:rPr>
                <w:noProof/>
                <w:webHidden/>
              </w:rPr>
              <w:fldChar w:fldCharType="end"/>
            </w:r>
          </w:hyperlink>
        </w:p>
        <w:p w14:paraId="4A3F07E9" w14:textId="3B2FD9D0" w:rsidR="00534815" w:rsidRDefault="00534815">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23" w:history="1">
            <w:r w:rsidRPr="00617EF0">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rPr>
              <w:t>MODE DE FACTURATION</w:t>
            </w:r>
            <w:r>
              <w:rPr>
                <w:noProof/>
                <w:webHidden/>
              </w:rPr>
              <w:tab/>
            </w:r>
            <w:r>
              <w:rPr>
                <w:noProof/>
                <w:webHidden/>
              </w:rPr>
              <w:fldChar w:fldCharType="begin"/>
            </w:r>
            <w:r>
              <w:rPr>
                <w:noProof/>
                <w:webHidden/>
              </w:rPr>
              <w:instrText xml:space="preserve"> PAGEREF _Toc208220923 \h </w:instrText>
            </w:r>
            <w:r>
              <w:rPr>
                <w:noProof/>
                <w:webHidden/>
              </w:rPr>
            </w:r>
            <w:r>
              <w:rPr>
                <w:noProof/>
                <w:webHidden/>
              </w:rPr>
              <w:fldChar w:fldCharType="separate"/>
            </w:r>
            <w:r>
              <w:rPr>
                <w:noProof/>
                <w:webHidden/>
              </w:rPr>
              <w:t>7</w:t>
            </w:r>
            <w:r>
              <w:rPr>
                <w:noProof/>
                <w:webHidden/>
              </w:rPr>
              <w:fldChar w:fldCharType="end"/>
            </w:r>
          </w:hyperlink>
        </w:p>
        <w:p w14:paraId="6F1F4764" w14:textId="3661EA4C"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24" w:history="1">
            <w:r w:rsidRPr="00617EF0">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Termes de paiement</w:t>
            </w:r>
            <w:r>
              <w:rPr>
                <w:noProof/>
                <w:webHidden/>
              </w:rPr>
              <w:tab/>
            </w:r>
            <w:r>
              <w:rPr>
                <w:noProof/>
                <w:webHidden/>
              </w:rPr>
              <w:fldChar w:fldCharType="begin"/>
            </w:r>
            <w:r>
              <w:rPr>
                <w:noProof/>
                <w:webHidden/>
              </w:rPr>
              <w:instrText xml:space="preserve"> PAGEREF _Toc208220924 \h </w:instrText>
            </w:r>
            <w:r>
              <w:rPr>
                <w:noProof/>
                <w:webHidden/>
              </w:rPr>
            </w:r>
            <w:r>
              <w:rPr>
                <w:noProof/>
                <w:webHidden/>
              </w:rPr>
              <w:fldChar w:fldCharType="separate"/>
            </w:r>
            <w:r>
              <w:rPr>
                <w:noProof/>
                <w:webHidden/>
              </w:rPr>
              <w:t>7</w:t>
            </w:r>
            <w:r>
              <w:rPr>
                <w:noProof/>
                <w:webHidden/>
              </w:rPr>
              <w:fldChar w:fldCharType="end"/>
            </w:r>
          </w:hyperlink>
        </w:p>
        <w:p w14:paraId="1E02A7B0" w14:textId="1CCB4567" w:rsidR="00534815" w:rsidRDefault="00534815">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8220925" w:history="1">
            <w:r w:rsidRPr="00617EF0">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617EF0">
              <w:rPr>
                <w:rStyle w:val="Lienhypertexte"/>
                <w:noProof/>
              </w:rPr>
              <w:t>Modalités de paiement</w:t>
            </w:r>
            <w:r>
              <w:rPr>
                <w:noProof/>
                <w:webHidden/>
              </w:rPr>
              <w:tab/>
            </w:r>
            <w:r>
              <w:rPr>
                <w:noProof/>
                <w:webHidden/>
              </w:rPr>
              <w:fldChar w:fldCharType="begin"/>
            </w:r>
            <w:r>
              <w:rPr>
                <w:noProof/>
                <w:webHidden/>
              </w:rPr>
              <w:instrText xml:space="preserve"> PAGEREF _Toc208220925 \h </w:instrText>
            </w:r>
            <w:r>
              <w:rPr>
                <w:noProof/>
                <w:webHidden/>
              </w:rPr>
            </w:r>
            <w:r>
              <w:rPr>
                <w:noProof/>
                <w:webHidden/>
              </w:rPr>
              <w:fldChar w:fldCharType="separate"/>
            </w:r>
            <w:r>
              <w:rPr>
                <w:noProof/>
                <w:webHidden/>
              </w:rPr>
              <w:t>7</w:t>
            </w:r>
            <w:r>
              <w:rPr>
                <w:noProof/>
                <w:webHidden/>
              </w:rPr>
              <w:fldChar w:fldCharType="end"/>
            </w:r>
          </w:hyperlink>
        </w:p>
        <w:p w14:paraId="66E7D530" w14:textId="4C3C8FFF" w:rsidR="00534815" w:rsidRDefault="0053481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26" w:history="1">
            <w:r w:rsidRPr="00617EF0">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rPr>
              <w:t>PENALITES</w:t>
            </w:r>
            <w:r>
              <w:rPr>
                <w:noProof/>
                <w:webHidden/>
              </w:rPr>
              <w:tab/>
            </w:r>
            <w:r>
              <w:rPr>
                <w:noProof/>
                <w:webHidden/>
              </w:rPr>
              <w:fldChar w:fldCharType="begin"/>
            </w:r>
            <w:r>
              <w:rPr>
                <w:noProof/>
                <w:webHidden/>
              </w:rPr>
              <w:instrText xml:space="preserve"> PAGEREF _Toc208220926 \h </w:instrText>
            </w:r>
            <w:r>
              <w:rPr>
                <w:noProof/>
                <w:webHidden/>
              </w:rPr>
            </w:r>
            <w:r>
              <w:rPr>
                <w:noProof/>
                <w:webHidden/>
              </w:rPr>
              <w:fldChar w:fldCharType="separate"/>
            </w:r>
            <w:r>
              <w:rPr>
                <w:noProof/>
                <w:webHidden/>
              </w:rPr>
              <w:t>7</w:t>
            </w:r>
            <w:r>
              <w:rPr>
                <w:noProof/>
                <w:webHidden/>
              </w:rPr>
              <w:fldChar w:fldCharType="end"/>
            </w:r>
          </w:hyperlink>
        </w:p>
        <w:p w14:paraId="66EA92DD" w14:textId="5610CFA0" w:rsidR="00534815" w:rsidRDefault="00534815">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27" w:history="1">
            <w:r w:rsidRPr="00617EF0">
              <w:rPr>
                <w:rStyle w:val="Lienhypertexte"/>
                <w:noProof/>
                <w:lang w:val="fr-BE"/>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lang w:val="fr-BE"/>
              </w:rPr>
              <w:t>NON-SUBSTITUTION DU PERSONNEL</w:t>
            </w:r>
            <w:r>
              <w:rPr>
                <w:noProof/>
                <w:webHidden/>
              </w:rPr>
              <w:tab/>
            </w:r>
            <w:r>
              <w:rPr>
                <w:noProof/>
                <w:webHidden/>
              </w:rPr>
              <w:fldChar w:fldCharType="begin"/>
            </w:r>
            <w:r>
              <w:rPr>
                <w:noProof/>
                <w:webHidden/>
              </w:rPr>
              <w:instrText xml:space="preserve"> PAGEREF _Toc208220927 \h </w:instrText>
            </w:r>
            <w:r>
              <w:rPr>
                <w:noProof/>
                <w:webHidden/>
              </w:rPr>
            </w:r>
            <w:r>
              <w:rPr>
                <w:noProof/>
                <w:webHidden/>
              </w:rPr>
              <w:fldChar w:fldCharType="separate"/>
            </w:r>
            <w:r>
              <w:rPr>
                <w:noProof/>
                <w:webHidden/>
              </w:rPr>
              <w:t>8</w:t>
            </w:r>
            <w:r>
              <w:rPr>
                <w:noProof/>
                <w:webHidden/>
              </w:rPr>
              <w:fldChar w:fldCharType="end"/>
            </w:r>
          </w:hyperlink>
        </w:p>
        <w:p w14:paraId="50110EDD" w14:textId="5D7C714C" w:rsidR="00534815" w:rsidRDefault="00534815">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28" w:history="1">
            <w:r w:rsidRPr="00617EF0">
              <w:rPr>
                <w:rStyle w:val="Lienhypertexte"/>
                <w:noProof/>
                <w:lang w:val="fr-BE"/>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rPr>
              <w:t>CONFIDENTIALITE, PROTECTION DES DONNEES PERSONNELLES, MESURES DE SECURITE</w:t>
            </w:r>
            <w:r>
              <w:rPr>
                <w:noProof/>
                <w:webHidden/>
              </w:rPr>
              <w:tab/>
            </w:r>
            <w:r>
              <w:rPr>
                <w:noProof/>
                <w:webHidden/>
              </w:rPr>
              <w:fldChar w:fldCharType="begin"/>
            </w:r>
            <w:r>
              <w:rPr>
                <w:noProof/>
                <w:webHidden/>
              </w:rPr>
              <w:instrText xml:space="preserve"> PAGEREF _Toc208220928 \h </w:instrText>
            </w:r>
            <w:r>
              <w:rPr>
                <w:noProof/>
                <w:webHidden/>
              </w:rPr>
            </w:r>
            <w:r>
              <w:rPr>
                <w:noProof/>
                <w:webHidden/>
              </w:rPr>
              <w:fldChar w:fldCharType="separate"/>
            </w:r>
            <w:r>
              <w:rPr>
                <w:noProof/>
                <w:webHidden/>
              </w:rPr>
              <w:t>9</w:t>
            </w:r>
            <w:r>
              <w:rPr>
                <w:noProof/>
                <w:webHidden/>
              </w:rPr>
              <w:fldChar w:fldCharType="end"/>
            </w:r>
          </w:hyperlink>
        </w:p>
        <w:p w14:paraId="39740150" w14:textId="20D132D0" w:rsidR="00534815" w:rsidRDefault="00534815">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29" w:history="1">
            <w:r w:rsidRPr="00617EF0">
              <w:rPr>
                <w:rStyle w:val="Lienhypertexte"/>
                <w:noProof/>
                <w:lang w:val="fr-BE"/>
              </w:rPr>
              <w:t>Article VIII.</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lang w:val="fr-BE"/>
              </w:rPr>
              <w:t>RÉGIME DES RÉSULTATS</w:t>
            </w:r>
            <w:r>
              <w:rPr>
                <w:noProof/>
                <w:webHidden/>
              </w:rPr>
              <w:tab/>
            </w:r>
            <w:r>
              <w:rPr>
                <w:noProof/>
                <w:webHidden/>
              </w:rPr>
              <w:fldChar w:fldCharType="begin"/>
            </w:r>
            <w:r>
              <w:rPr>
                <w:noProof/>
                <w:webHidden/>
              </w:rPr>
              <w:instrText xml:space="preserve"> PAGEREF _Toc208220929 \h </w:instrText>
            </w:r>
            <w:r>
              <w:rPr>
                <w:noProof/>
                <w:webHidden/>
              </w:rPr>
            </w:r>
            <w:r>
              <w:rPr>
                <w:noProof/>
                <w:webHidden/>
              </w:rPr>
              <w:fldChar w:fldCharType="separate"/>
            </w:r>
            <w:r>
              <w:rPr>
                <w:noProof/>
                <w:webHidden/>
              </w:rPr>
              <w:t>9</w:t>
            </w:r>
            <w:r>
              <w:rPr>
                <w:noProof/>
                <w:webHidden/>
              </w:rPr>
              <w:fldChar w:fldCharType="end"/>
            </w:r>
          </w:hyperlink>
        </w:p>
        <w:p w14:paraId="3263296A" w14:textId="05C06294" w:rsidR="00534815" w:rsidRDefault="00534815">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30" w:history="1">
            <w:r w:rsidRPr="00617EF0">
              <w:rPr>
                <w:rStyle w:val="Lienhypertexte"/>
                <w:noProof/>
              </w:rPr>
              <w:t>Article IX.</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rPr>
              <w:t>DIFFERENDS ET LITIGES</w:t>
            </w:r>
            <w:r>
              <w:rPr>
                <w:noProof/>
                <w:webHidden/>
              </w:rPr>
              <w:tab/>
            </w:r>
            <w:r>
              <w:rPr>
                <w:noProof/>
                <w:webHidden/>
              </w:rPr>
              <w:fldChar w:fldCharType="begin"/>
            </w:r>
            <w:r>
              <w:rPr>
                <w:noProof/>
                <w:webHidden/>
              </w:rPr>
              <w:instrText xml:space="preserve"> PAGEREF _Toc208220930 \h </w:instrText>
            </w:r>
            <w:r>
              <w:rPr>
                <w:noProof/>
                <w:webHidden/>
              </w:rPr>
            </w:r>
            <w:r>
              <w:rPr>
                <w:noProof/>
                <w:webHidden/>
              </w:rPr>
              <w:fldChar w:fldCharType="separate"/>
            </w:r>
            <w:r>
              <w:rPr>
                <w:noProof/>
                <w:webHidden/>
              </w:rPr>
              <w:t>9</w:t>
            </w:r>
            <w:r>
              <w:rPr>
                <w:noProof/>
                <w:webHidden/>
              </w:rPr>
              <w:fldChar w:fldCharType="end"/>
            </w:r>
          </w:hyperlink>
        </w:p>
        <w:p w14:paraId="213888B3" w14:textId="4EAB89E7" w:rsidR="00534815" w:rsidRDefault="0053481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8220931" w:history="1">
            <w:r w:rsidRPr="00617EF0">
              <w:rPr>
                <w:rStyle w:val="Lienhypertexte"/>
                <w:noProof/>
                <w:lang w:val="fr-BE"/>
              </w:rPr>
              <w:t>Article X.</w:t>
            </w:r>
            <w:r>
              <w:rPr>
                <w:rFonts w:asciiTheme="minorHAnsi" w:eastAsiaTheme="minorEastAsia" w:hAnsiTheme="minorHAnsi" w:cstheme="minorBidi"/>
                <w:b w:val="0"/>
                <w:bCs w:val="0"/>
                <w:i w:val="0"/>
                <w:iCs w:val="0"/>
                <w:noProof/>
                <w:kern w:val="2"/>
                <w:lang w:val="fr-BE" w:eastAsia="fr-BE"/>
                <w14:ligatures w14:val="standardContextual"/>
              </w:rPr>
              <w:tab/>
            </w:r>
            <w:r w:rsidRPr="00617EF0">
              <w:rPr>
                <w:rStyle w:val="Lienhypertexte"/>
                <w:noProof/>
                <w:lang w:val="fr-BE"/>
              </w:rPr>
              <w:t>Dérogations au CCAG</w:t>
            </w:r>
            <w:r>
              <w:rPr>
                <w:noProof/>
                <w:webHidden/>
              </w:rPr>
              <w:tab/>
            </w:r>
            <w:r>
              <w:rPr>
                <w:noProof/>
                <w:webHidden/>
              </w:rPr>
              <w:fldChar w:fldCharType="begin"/>
            </w:r>
            <w:r>
              <w:rPr>
                <w:noProof/>
                <w:webHidden/>
              </w:rPr>
              <w:instrText xml:space="preserve"> PAGEREF _Toc208220931 \h </w:instrText>
            </w:r>
            <w:r>
              <w:rPr>
                <w:noProof/>
                <w:webHidden/>
              </w:rPr>
            </w:r>
            <w:r>
              <w:rPr>
                <w:noProof/>
                <w:webHidden/>
              </w:rPr>
              <w:fldChar w:fldCharType="separate"/>
            </w:r>
            <w:r>
              <w:rPr>
                <w:noProof/>
                <w:webHidden/>
              </w:rPr>
              <w:t>9</w:t>
            </w:r>
            <w:r>
              <w:rPr>
                <w:noProof/>
                <w:webHidden/>
              </w:rPr>
              <w:fldChar w:fldCharType="end"/>
            </w:r>
          </w:hyperlink>
        </w:p>
        <w:p w14:paraId="0D629C3A" w14:textId="10E0EF8E" w:rsidR="00AA7022" w:rsidRDefault="00AA7022">
          <w:r>
            <w:rPr>
              <w:b/>
              <w:bCs/>
            </w:rPr>
            <w:fldChar w:fldCharType="end"/>
          </w:r>
        </w:p>
      </w:sdtContent>
    </w:sdt>
    <w:p w14:paraId="4F54470C" w14:textId="77777777" w:rsidR="00AA7022" w:rsidRDefault="00AA7022" w:rsidP="00993119"/>
    <w:p w14:paraId="57DD0DF7" w14:textId="77777777" w:rsidR="003C65E8" w:rsidRDefault="003C65E8" w:rsidP="00993119"/>
    <w:p w14:paraId="7272DB8C" w14:textId="2578B6D9" w:rsidR="00C83A6C" w:rsidRDefault="00C83A6C" w:rsidP="00993119"/>
    <w:p w14:paraId="230B7674" w14:textId="77777777" w:rsidR="00920E09" w:rsidRDefault="00920E09" w:rsidP="00993119"/>
    <w:p w14:paraId="56CC727E" w14:textId="1188A9CD" w:rsidR="002C6C58" w:rsidRPr="00394727" w:rsidRDefault="002C6C58" w:rsidP="00394727">
      <w:pPr>
        <w:pStyle w:val="Titre1"/>
      </w:pPr>
      <w:bookmarkStart w:id="2" w:name="_Toc208220908"/>
      <w:r w:rsidRPr="00394727">
        <w:t>OBJET DU MARCHE</w:t>
      </w:r>
      <w:bookmarkEnd w:id="2"/>
    </w:p>
    <w:p w14:paraId="42E526CF" w14:textId="77777777" w:rsidR="002C6C58" w:rsidRPr="009D7405" w:rsidRDefault="002C6C58" w:rsidP="009D7405">
      <w:pPr>
        <w:pStyle w:val="Titre2"/>
      </w:pPr>
      <w:bookmarkStart w:id="3" w:name="_Toc161406916"/>
      <w:bookmarkStart w:id="4" w:name="_Toc208220909"/>
      <w:r w:rsidRPr="009D7405">
        <w:t>Partie contractante</w:t>
      </w:r>
      <w:bookmarkEnd w:id="3"/>
      <w:bookmarkEnd w:id="4"/>
    </w:p>
    <w:p w14:paraId="6C0EAF22" w14:textId="0AB720B0" w:rsidR="002C6C58" w:rsidRDefault="002C6C58" w:rsidP="00C83A6C">
      <w:pPr>
        <w:ind w:left="-1134"/>
        <w:jc w:val="both"/>
      </w:pPr>
      <w:r>
        <w:lastRenderedPageBreak/>
        <w:t xml:space="preserve">Le marché est passé pour le compte du </w:t>
      </w:r>
      <w:r w:rsidRPr="002C6C58">
        <w:rPr>
          <w:b/>
          <w:bCs/>
        </w:rPr>
        <w:t>Grand Port Maritime</w:t>
      </w:r>
      <w:r w:rsidRPr="002C6C58">
        <w:t> de la </w:t>
      </w:r>
      <w:r w:rsidRPr="002C6C58">
        <w:rPr>
          <w:b/>
          <w:bCs/>
        </w:rPr>
        <w:t>Guyane</w:t>
      </w:r>
      <w:r>
        <w:rPr>
          <w:b/>
          <w:bCs/>
        </w:rPr>
        <w:t xml:space="preserve"> (</w:t>
      </w:r>
      <w:r w:rsidR="00433D73" w:rsidRPr="00433D73">
        <w:rPr>
          <w:b/>
          <w:bCs/>
        </w:rPr>
        <w:t>GPM-Guyane</w:t>
      </w:r>
      <w:r>
        <w:rPr>
          <w:b/>
          <w:bCs/>
        </w:rPr>
        <w:t>)</w:t>
      </w:r>
      <w:r>
        <w:t xml:space="preserve">, représenté par son directeur général. Le </w:t>
      </w:r>
      <w:r w:rsidR="00433D73" w:rsidRPr="00433D73">
        <w:t>GPM-Guyane</w:t>
      </w:r>
      <w:r>
        <w:t xml:space="preserve"> est un établissement public à caractère industriel et commercial (EPIC) dont le siège est situé à :</w:t>
      </w:r>
    </w:p>
    <w:p w14:paraId="3ED30A21" w14:textId="6D474C1B" w:rsidR="00920E09" w:rsidRDefault="002C6C58" w:rsidP="00920E09">
      <w:pPr>
        <w:spacing w:after="0" w:line="240" w:lineRule="auto"/>
        <w:ind w:left="-1418"/>
        <w:jc w:val="center"/>
      </w:pPr>
      <w:r w:rsidRPr="002C6C58">
        <w:t>Zone de Dégrad</w:t>
      </w:r>
      <w:r w:rsidR="00920E09">
        <w:t>-</w:t>
      </w:r>
      <w:r w:rsidRPr="002C6C58">
        <w:t>des</w:t>
      </w:r>
      <w:r w:rsidR="00920E09">
        <w:t>-C</w:t>
      </w:r>
      <w:r w:rsidRPr="002C6C58">
        <w:t>annes</w:t>
      </w:r>
    </w:p>
    <w:p w14:paraId="70BF4182" w14:textId="746416FE" w:rsidR="002C6C58" w:rsidRDefault="002C6C58" w:rsidP="00920E09">
      <w:pPr>
        <w:spacing w:after="0" w:line="240" w:lineRule="auto"/>
        <w:ind w:left="-1418"/>
        <w:jc w:val="center"/>
      </w:pPr>
      <w:r w:rsidRPr="002C6C58">
        <w:t>97354 Rémire- Montjol</w:t>
      </w:r>
      <w:r w:rsidR="00717480">
        <w:t>y</w:t>
      </w:r>
    </w:p>
    <w:p w14:paraId="323741A6" w14:textId="0A873102" w:rsidR="00920E09" w:rsidRDefault="002C6C58" w:rsidP="00920E09">
      <w:pPr>
        <w:spacing w:after="0" w:line="240" w:lineRule="auto"/>
        <w:ind w:left="-1418"/>
        <w:jc w:val="center"/>
      </w:pPr>
      <w:r w:rsidRPr="002C6C58">
        <w:t>Guyane française</w:t>
      </w:r>
    </w:p>
    <w:p w14:paraId="399EB324" w14:textId="486205CA" w:rsidR="002C6C58" w:rsidRDefault="002C6C58" w:rsidP="009D7405">
      <w:pPr>
        <w:pStyle w:val="Titre2"/>
      </w:pPr>
      <w:bookmarkStart w:id="5" w:name="_Toc208220910"/>
      <w:bookmarkStart w:id="6" w:name="_Toc161406917"/>
      <w:r w:rsidRPr="00BD48F4">
        <w:t>Objet du marché</w:t>
      </w:r>
      <w:bookmarkEnd w:id="5"/>
      <w:r w:rsidRPr="00BD48F4">
        <w:t xml:space="preserve"> </w:t>
      </w:r>
      <w:bookmarkEnd w:id="6"/>
    </w:p>
    <w:p w14:paraId="3ACCB905" w14:textId="77777777" w:rsidR="00F97C3A" w:rsidRPr="00A21ABD" w:rsidRDefault="00F97C3A" w:rsidP="00F97C3A">
      <w:pPr>
        <w:spacing w:after="0"/>
        <w:ind w:left="-1134"/>
        <w:jc w:val="both"/>
        <w:rPr>
          <w:lang w:val="fr-BE" w:eastAsia="fr-FR"/>
        </w:rPr>
      </w:pPr>
      <w:r w:rsidRPr="00A21ABD">
        <w:rPr>
          <w:lang w:val="fr-BE" w:eastAsia="fr-FR"/>
        </w:rPr>
        <w:t xml:space="preserve">La présente consultation a pour objet la réalisation du </w:t>
      </w:r>
      <w:r w:rsidRPr="00A21ABD">
        <w:rPr>
          <w:b/>
          <w:bCs/>
          <w:lang w:val="fr-BE" w:eastAsia="fr-FR"/>
        </w:rPr>
        <w:t xml:space="preserve">Schéma Directeur du Patrimoine Naturel (SDPN) du Grand Port </w:t>
      </w:r>
      <w:r>
        <w:rPr>
          <w:b/>
          <w:bCs/>
          <w:lang w:val="fr-BE" w:eastAsia="fr-FR"/>
        </w:rPr>
        <w:t>Maritime de Guyane</w:t>
      </w:r>
      <w:r w:rsidRPr="00A21ABD">
        <w:rPr>
          <w:lang w:val="fr-BE" w:eastAsia="fr-FR"/>
        </w:rPr>
        <w:t>.</w:t>
      </w:r>
    </w:p>
    <w:p w14:paraId="5AE2C1C4" w14:textId="77777777" w:rsidR="00F97C3A" w:rsidRPr="00A21ABD" w:rsidRDefault="00F97C3A" w:rsidP="00F97C3A">
      <w:pPr>
        <w:spacing w:after="0"/>
        <w:ind w:left="-1134"/>
        <w:jc w:val="both"/>
        <w:rPr>
          <w:lang w:val="fr-BE" w:eastAsia="fr-FR"/>
        </w:rPr>
      </w:pPr>
      <w:r w:rsidRPr="00A21ABD">
        <w:rPr>
          <w:lang w:val="fr-BE" w:eastAsia="fr-FR"/>
        </w:rPr>
        <w:t>Ce document stratégique visera à :</w:t>
      </w:r>
    </w:p>
    <w:p w14:paraId="48306AF2" w14:textId="77777777" w:rsidR="00F97C3A" w:rsidRPr="00A21ABD" w:rsidRDefault="00F97C3A" w:rsidP="00F97C3A">
      <w:pPr>
        <w:numPr>
          <w:ilvl w:val="0"/>
          <w:numId w:val="33"/>
        </w:numPr>
        <w:tabs>
          <w:tab w:val="clear" w:pos="720"/>
          <w:tab w:val="num" w:pos="426"/>
        </w:tabs>
        <w:spacing w:after="0"/>
        <w:ind w:left="284"/>
        <w:jc w:val="both"/>
        <w:rPr>
          <w:lang w:val="fr-BE" w:eastAsia="fr-FR"/>
        </w:rPr>
      </w:pPr>
      <w:r w:rsidRPr="00A21ABD">
        <w:rPr>
          <w:lang w:val="fr-BE" w:eastAsia="fr-FR"/>
        </w:rPr>
        <w:t>Dresser un inventaire précis de la faune, de la flore et des habitats terrestres, aquatiques et marins du périmètre portuaire,</w:t>
      </w:r>
    </w:p>
    <w:p w14:paraId="4B40A201" w14:textId="672D7891" w:rsidR="00F97C3A" w:rsidRPr="004142D3" w:rsidRDefault="00F97C3A" w:rsidP="004142D3">
      <w:pPr>
        <w:numPr>
          <w:ilvl w:val="0"/>
          <w:numId w:val="33"/>
        </w:numPr>
        <w:tabs>
          <w:tab w:val="clear" w:pos="720"/>
          <w:tab w:val="num" w:pos="426"/>
        </w:tabs>
        <w:spacing w:after="0"/>
        <w:ind w:left="284"/>
        <w:jc w:val="both"/>
        <w:rPr>
          <w:lang w:val="fr-BE" w:eastAsia="fr-FR"/>
        </w:rPr>
      </w:pPr>
      <w:r w:rsidRPr="00A21ABD">
        <w:rPr>
          <w:lang w:val="fr-BE" w:eastAsia="fr-FR"/>
        </w:rPr>
        <w:t>Identifier et hiérarchiser les enjeux environnementaux associés,</w:t>
      </w:r>
      <w:r w:rsidR="004142D3">
        <w:rPr>
          <w:lang w:val="fr-BE" w:eastAsia="fr-FR"/>
        </w:rPr>
        <w:t xml:space="preserve"> et mettre en place une stratégie </w:t>
      </w:r>
      <w:r w:rsidR="004142D3" w:rsidRPr="004142D3">
        <w:rPr>
          <w:lang w:val="fr-BE" w:eastAsia="fr-FR"/>
        </w:rPr>
        <w:t>de lutte et de prévention</w:t>
      </w:r>
      <w:r w:rsidRPr="004142D3">
        <w:rPr>
          <w:lang w:val="fr-BE" w:eastAsia="fr-FR"/>
        </w:rPr>
        <w:t xml:space="preserve"> des espèces exotiques envahissantes,</w:t>
      </w:r>
    </w:p>
    <w:p w14:paraId="0993EA64" w14:textId="4A5DDDF4" w:rsidR="00F97C3A" w:rsidRDefault="004142D3" w:rsidP="00F97C3A">
      <w:pPr>
        <w:numPr>
          <w:ilvl w:val="0"/>
          <w:numId w:val="33"/>
        </w:numPr>
        <w:tabs>
          <w:tab w:val="clear" w:pos="720"/>
          <w:tab w:val="num" w:pos="426"/>
        </w:tabs>
        <w:spacing w:after="0"/>
        <w:ind w:left="284"/>
        <w:jc w:val="both"/>
        <w:rPr>
          <w:lang w:val="fr-BE" w:eastAsia="fr-FR"/>
        </w:rPr>
      </w:pPr>
      <w:r>
        <w:rPr>
          <w:lang w:val="fr-BE" w:eastAsia="fr-FR"/>
        </w:rPr>
        <w:t>Croiser les enjeux portuaires et les enjeux écologiques </w:t>
      </w:r>
    </w:p>
    <w:p w14:paraId="6ABE69AD" w14:textId="01FD7F46" w:rsidR="004142D3" w:rsidRPr="00A21ABD" w:rsidRDefault="004142D3" w:rsidP="00F97C3A">
      <w:pPr>
        <w:numPr>
          <w:ilvl w:val="0"/>
          <w:numId w:val="33"/>
        </w:numPr>
        <w:tabs>
          <w:tab w:val="clear" w:pos="720"/>
          <w:tab w:val="num" w:pos="426"/>
        </w:tabs>
        <w:spacing w:after="0"/>
        <w:ind w:left="284"/>
        <w:jc w:val="both"/>
        <w:rPr>
          <w:lang w:val="fr-BE" w:eastAsia="fr-FR"/>
        </w:rPr>
      </w:pPr>
      <w:r>
        <w:rPr>
          <w:lang w:val="fr-BE" w:eastAsia="fr-FR"/>
        </w:rPr>
        <w:t xml:space="preserve">Etablir des mesures de conservation et de suivi </w:t>
      </w:r>
    </w:p>
    <w:p w14:paraId="70670236" w14:textId="19DA2CE9" w:rsidR="00F97C3A" w:rsidRPr="00F97C3A" w:rsidRDefault="00F97C3A" w:rsidP="00F97C3A">
      <w:pPr>
        <w:spacing w:before="240" w:after="0"/>
        <w:ind w:left="-1134"/>
        <w:jc w:val="both"/>
        <w:rPr>
          <w:lang w:val="fr-BE" w:eastAsia="fr-FR"/>
        </w:rPr>
      </w:pPr>
      <w:r w:rsidRPr="00A21ABD">
        <w:rPr>
          <w:lang w:val="fr-BE" w:eastAsia="fr-FR"/>
        </w:rPr>
        <w:t>Le titulaire assurera la conception du SDPN et l’accompagnement technique tout au long de sa mission.</w:t>
      </w:r>
    </w:p>
    <w:p w14:paraId="7C09441E" w14:textId="7F6FC1CF" w:rsidR="00920E09" w:rsidRDefault="002C6C58" w:rsidP="00920E09">
      <w:pPr>
        <w:spacing w:before="240"/>
        <w:ind w:left="-1134"/>
      </w:pPr>
      <w:r w:rsidRPr="00BD48F4">
        <w:t>La description des prestations figure au C.C.T.P.</w:t>
      </w:r>
    </w:p>
    <w:p w14:paraId="66573CDE" w14:textId="77777777" w:rsidR="004523D4" w:rsidRDefault="004523D4" w:rsidP="004523D4">
      <w:pPr>
        <w:pStyle w:val="Titre2"/>
      </w:pPr>
      <w:bookmarkStart w:id="7" w:name="_Toc465243675"/>
      <w:bookmarkStart w:id="8" w:name="_Toc193806275"/>
      <w:bookmarkStart w:id="9" w:name="_Toc198037071"/>
      <w:bookmarkStart w:id="10" w:name="_Toc208220911"/>
      <w:r w:rsidRPr="004523D4">
        <w:t>Forme du march</w:t>
      </w:r>
      <w:bookmarkEnd w:id="7"/>
      <w:r w:rsidRPr="004523D4">
        <w:t>é</w:t>
      </w:r>
      <w:bookmarkEnd w:id="8"/>
      <w:bookmarkEnd w:id="9"/>
      <w:bookmarkEnd w:id="10"/>
      <w:r w:rsidRPr="004523D4">
        <w:tab/>
      </w:r>
    </w:p>
    <w:p w14:paraId="3A9689AE" w14:textId="2812E2BE" w:rsidR="00F97C3A" w:rsidRDefault="00F97C3A" w:rsidP="00F97C3A">
      <w:pPr>
        <w:ind w:left="-1134"/>
        <w:jc w:val="both"/>
      </w:pPr>
      <w:r w:rsidRPr="00EE78F1">
        <w:t xml:space="preserve">Le présent marché est un </w:t>
      </w:r>
      <w:r w:rsidRPr="00EE78F1">
        <w:rPr>
          <w:b/>
          <w:bCs/>
        </w:rPr>
        <w:t>marché public unique de services à prix global et forfaitaire</w:t>
      </w:r>
      <w:r w:rsidRPr="00EE78F1">
        <w:t>, conclu conformément aux dispositions du Code de la commande publique.</w:t>
      </w:r>
    </w:p>
    <w:p w14:paraId="78B2CC8C" w14:textId="5183E27B" w:rsidR="000C358F" w:rsidRDefault="000C358F" w:rsidP="009D7405">
      <w:pPr>
        <w:pStyle w:val="Titre2"/>
      </w:pPr>
      <w:bookmarkStart w:id="11" w:name="_Toc146825031"/>
      <w:bookmarkStart w:id="12" w:name="_Toc208220912"/>
      <w:bookmarkStart w:id="13" w:name="_Hlk212103643"/>
      <w:r w:rsidRPr="000C358F">
        <w:t>Montant maximum</w:t>
      </w:r>
      <w:bookmarkEnd w:id="11"/>
      <w:bookmarkEnd w:id="12"/>
    </w:p>
    <w:p w14:paraId="5C955D07" w14:textId="77777777" w:rsidR="00F97C3A" w:rsidRPr="00F73FEC" w:rsidRDefault="00F97C3A" w:rsidP="00F97C3A">
      <w:pPr>
        <w:ind w:left="-1134"/>
      </w:pPr>
      <w:r w:rsidRPr="00F73FEC">
        <w:t>Le marché est passé sans minimum.</w:t>
      </w:r>
    </w:p>
    <w:p w14:paraId="3782388E" w14:textId="5FBE7E75" w:rsidR="00F97C3A" w:rsidRPr="00F97C3A" w:rsidRDefault="00F97C3A" w:rsidP="00920E09">
      <w:pPr>
        <w:ind w:left="-1134"/>
        <w:jc w:val="both"/>
      </w:pPr>
      <w:r w:rsidRPr="00FA2F66">
        <w:t xml:space="preserve">Le montant du marché ne pourra pas excéder </w:t>
      </w:r>
      <w:r w:rsidR="00AF2F0D" w:rsidRPr="00FA2F66">
        <w:t xml:space="preserve">221 </w:t>
      </w:r>
      <w:r w:rsidRPr="00FA2F66">
        <w:t>000 euros sur l’ensemble de sa durée</w:t>
      </w:r>
      <w:r w:rsidR="00920E09" w:rsidRPr="00FA2F66">
        <w:t xml:space="preserve">, </w:t>
      </w:r>
      <w:r w:rsidR="00D73217" w:rsidRPr="00FA2F66">
        <w:t>déplacements</w:t>
      </w:r>
      <w:r w:rsidR="00920E09" w:rsidRPr="00FA2F66">
        <w:t xml:space="preserve"> compris.</w:t>
      </w:r>
    </w:p>
    <w:p w14:paraId="195F063A" w14:textId="24E5743E" w:rsidR="00181BF8" w:rsidRDefault="000C358F" w:rsidP="009D7405">
      <w:pPr>
        <w:pStyle w:val="Titre2"/>
      </w:pPr>
      <w:bookmarkStart w:id="14" w:name="_Toc146825032"/>
      <w:bookmarkStart w:id="15" w:name="_Toc208220913"/>
      <w:bookmarkEnd w:id="13"/>
      <w:r w:rsidRPr="000C358F">
        <w:t>Durée</w:t>
      </w:r>
      <w:bookmarkEnd w:id="14"/>
      <w:bookmarkEnd w:id="15"/>
    </w:p>
    <w:p w14:paraId="6402A6AA" w14:textId="6C75B904" w:rsidR="00F97C3A" w:rsidRPr="00F97C3A" w:rsidRDefault="00F97C3A" w:rsidP="00F97C3A">
      <w:pPr>
        <w:ind w:left="-1134"/>
        <w:jc w:val="both"/>
        <w:rPr>
          <w:lang w:eastAsia="fr-FR"/>
        </w:rPr>
      </w:pPr>
      <w:r w:rsidRPr="00EE78F1">
        <w:rPr>
          <w:lang w:eastAsia="fr-FR"/>
        </w:rPr>
        <w:t>Le marché prend effet à compter de sa notification et est conclu pour une durée maximale d’un an.</w:t>
      </w:r>
    </w:p>
    <w:p w14:paraId="65D7FC0E" w14:textId="0AD2666F" w:rsidR="000C358F" w:rsidRPr="000C358F" w:rsidRDefault="000C358F" w:rsidP="009D7405">
      <w:pPr>
        <w:pStyle w:val="Titre2"/>
      </w:pPr>
      <w:bookmarkStart w:id="16" w:name="_Toc208220914"/>
      <w:r w:rsidRPr="000C358F">
        <w:t>Renouvellement</w:t>
      </w:r>
      <w:bookmarkEnd w:id="16"/>
      <w:r w:rsidRPr="000C358F">
        <w:t xml:space="preserve"> </w:t>
      </w:r>
    </w:p>
    <w:p w14:paraId="77A2BAD5" w14:textId="37306CDB" w:rsidR="00181BF8" w:rsidRDefault="00F97C3A" w:rsidP="00CB6B4F">
      <w:pPr>
        <w:ind w:left="-1134"/>
        <w:jc w:val="both"/>
      </w:pPr>
      <w:r w:rsidRPr="00F97C3A">
        <w:t>Le présent marché ne fait l’objet d’aucune reconduction.</w:t>
      </w:r>
    </w:p>
    <w:p w14:paraId="46D70E04" w14:textId="7EA6D334" w:rsidR="00DD701C" w:rsidRPr="00DD701C" w:rsidRDefault="00DD701C" w:rsidP="00394727">
      <w:pPr>
        <w:pStyle w:val="Titre1"/>
      </w:pPr>
      <w:bookmarkStart w:id="17" w:name="_Toc161406922"/>
      <w:bookmarkStart w:id="18" w:name="_Toc208220915"/>
      <w:r w:rsidRPr="00BD48F4">
        <w:t>PIECES CONSTITUTIVES DU MARCHE</w:t>
      </w:r>
      <w:bookmarkEnd w:id="17"/>
      <w:bookmarkEnd w:id="18"/>
      <w:r w:rsidRPr="00BD48F4">
        <w:t xml:space="preserve"> </w:t>
      </w:r>
    </w:p>
    <w:p w14:paraId="6928EBC1" w14:textId="77777777" w:rsidR="00DD701C" w:rsidRPr="00BD48F4" w:rsidRDefault="00DD701C" w:rsidP="00DD701C">
      <w:pPr>
        <w:ind w:left="-1134"/>
        <w:jc w:val="both"/>
      </w:pPr>
      <w:r w:rsidRPr="00BD48F4">
        <w:t xml:space="preserve">Le présent marché est régi par les documents contractuels ci-après cités dans l’ordre de priorité décroissant suivant : </w:t>
      </w:r>
    </w:p>
    <w:p w14:paraId="1BFA23E3" w14:textId="4BEE8853" w:rsidR="00E14BE0" w:rsidRDefault="00DD701C" w:rsidP="009D7405">
      <w:pPr>
        <w:pStyle w:val="Titre2"/>
      </w:pPr>
      <w:bookmarkStart w:id="19" w:name="_Toc161406923"/>
      <w:bookmarkStart w:id="20" w:name="_Toc208220916"/>
      <w:r w:rsidRPr="00DD701C">
        <w:t>Les Pièces particulières</w:t>
      </w:r>
      <w:bookmarkEnd w:id="19"/>
      <w:bookmarkEnd w:id="20"/>
    </w:p>
    <w:p w14:paraId="1BE7B4EE" w14:textId="637D29F2" w:rsidR="00E33558" w:rsidRPr="005815CB" w:rsidRDefault="00DD701C" w:rsidP="005815CB">
      <w:pPr>
        <w:pStyle w:val="Paragraphedeliste"/>
        <w:rPr>
          <w:i/>
          <w:iCs/>
          <w:smallCaps/>
        </w:rPr>
      </w:pPr>
      <w:r w:rsidRPr="00994776">
        <w:t>Pièce N°1 : L'acte d'engagement « </w:t>
      </w:r>
      <w:bookmarkStart w:id="21" w:name="_Hlk208216637"/>
      <w:r w:rsidR="005815CB" w:rsidRPr="00994776">
        <w:t>AE</w:t>
      </w:r>
      <w:r w:rsidR="005815CB" w:rsidRPr="00F97C3A">
        <w:rPr>
          <w:i/>
          <w:iCs/>
          <w:smallCaps/>
        </w:rPr>
        <w:t xml:space="preserve"> </w:t>
      </w:r>
      <w:r w:rsidR="00F97C3A" w:rsidRPr="00F97C3A">
        <w:rPr>
          <w:i/>
          <w:iCs/>
          <w:smallCaps/>
        </w:rPr>
        <w:t xml:space="preserve">PAD-03-25 </w:t>
      </w:r>
      <w:proofErr w:type="gramStart"/>
      <w:r w:rsidR="00F97C3A" w:rsidRPr="00F97C3A">
        <w:rPr>
          <w:i/>
          <w:iCs/>
          <w:smallCaps/>
        </w:rPr>
        <w:t>SDPN</w:t>
      </w:r>
      <w:bookmarkEnd w:id="21"/>
      <w:r w:rsidRPr="002A25F1">
        <w:t>»</w:t>
      </w:r>
      <w:proofErr w:type="gramEnd"/>
      <w:r w:rsidRPr="002A25F1">
        <w:t xml:space="preserve"> et toutes les annexes :</w:t>
      </w:r>
    </w:p>
    <w:p w14:paraId="72B07135" w14:textId="77777777" w:rsidR="00F97C3A" w:rsidRPr="005815CB" w:rsidRDefault="00F97C3A" w:rsidP="00F97C3A">
      <w:pPr>
        <w:widowControl w:val="0"/>
        <w:numPr>
          <w:ilvl w:val="1"/>
          <w:numId w:val="5"/>
        </w:numPr>
        <w:tabs>
          <w:tab w:val="left" w:pos="0"/>
        </w:tabs>
        <w:spacing w:line="240" w:lineRule="auto"/>
        <w:jc w:val="both"/>
        <w:rPr>
          <w:rFonts w:cs="Tahoma"/>
        </w:rPr>
      </w:pPr>
      <w:r w:rsidRPr="005815CB">
        <w:rPr>
          <w:rFonts w:cs="Tahoma"/>
        </w:rPr>
        <w:t xml:space="preserve">Annexe conformité : bordereau des différences de valeur à la charge du </w:t>
      </w:r>
      <w:r w:rsidRPr="005815CB">
        <w:rPr>
          <w:rFonts w:cs="Arial"/>
          <w:szCs w:val="20"/>
        </w:rPr>
        <w:t>GPM-Guyane</w:t>
      </w:r>
      <w:r w:rsidRPr="005815CB">
        <w:rPr>
          <w:rFonts w:cs="Tahoma"/>
        </w:rPr>
        <w:t> ;</w:t>
      </w:r>
    </w:p>
    <w:p w14:paraId="75F3F636" w14:textId="5152274D" w:rsidR="00F97C3A" w:rsidRPr="001339FB" w:rsidRDefault="00F97C3A" w:rsidP="00F97C3A">
      <w:pPr>
        <w:widowControl w:val="0"/>
        <w:numPr>
          <w:ilvl w:val="1"/>
          <w:numId w:val="5"/>
        </w:numPr>
        <w:tabs>
          <w:tab w:val="left" w:pos="0"/>
        </w:tabs>
        <w:spacing w:line="240" w:lineRule="auto"/>
        <w:jc w:val="both"/>
        <w:rPr>
          <w:rFonts w:cs="Tahoma"/>
        </w:rPr>
      </w:pPr>
      <w:r w:rsidRPr="00664401">
        <w:rPr>
          <w:rFonts w:cs="Tahoma"/>
        </w:rPr>
        <w:t>Annexe prix : Décomposition du prix globale et forfaitaire DPGF</w:t>
      </w:r>
      <w:r w:rsidR="005815CB">
        <w:rPr>
          <w:rFonts w:cs="Tahoma"/>
        </w:rPr>
        <w:t> ;</w:t>
      </w:r>
    </w:p>
    <w:p w14:paraId="2B396E7A" w14:textId="77777777" w:rsidR="00F97C3A" w:rsidRPr="006D70B1" w:rsidRDefault="00F97C3A" w:rsidP="00F97C3A">
      <w:pPr>
        <w:widowControl w:val="0"/>
        <w:numPr>
          <w:ilvl w:val="1"/>
          <w:numId w:val="5"/>
        </w:numPr>
        <w:tabs>
          <w:tab w:val="left" w:pos="0"/>
        </w:tabs>
        <w:spacing w:after="120" w:line="240" w:lineRule="auto"/>
        <w:jc w:val="both"/>
        <w:rPr>
          <w:rFonts w:cs="Tahoma"/>
        </w:rPr>
      </w:pPr>
      <w:r w:rsidRPr="001339FB">
        <w:rPr>
          <w:rFonts w:cs="Tahoma"/>
        </w:rPr>
        <w:t xml:space="preserve">Annexe valeur technique : Bordereau de réponse au critère « Valeur technique de l’offre » ; </w:t>
      </w:r>
    </w:p>
    <w:p w14:paraId="555017B5" w14:textId="77777777" w:rsidR="00F97C3A" w:rsidRPr="006D70B1" w:rsidRDefault="00F97C3A" w:rsidP="00F97C3A">
      <w:pPr>
        <w:widowControl w:val="0"/>
        <w:numPr>
          <w:ilvl w:val="1"/>
          <w:numId w:val="5"/>
        </w:numPr>
        <w:tabs>
          <w:tab w:val="left" w:pos="0"/>
        </w:tabs>
        <w:spacing w:after="120" w:line="240" w:lineRule="auto"/>
        <w:jc w:val="both"/>
        <w:rPr>
          <w:rFonts w:cs="Tahoma"/>
        </w:rPr>
      </w:pPr>
      <w:r>
        <w:rPr>
          <w:rFonts w:cs="Tahoma"/>
        </w:rPr>
        <w:t>Annexe aspect</w:t>
      </w:r>
      <w:r w:rsidRPr="001339FB">
        <w:rPr>
          <w:rFonts w:cs="Tahoma"/>
        </w:rPr>
        <w:t xml:space="preserve"> </w:t>
      </w:r>
      <w:r>
        <w:rPr>
          <w:rFonts w:cs="Tahoma"/>
        </w:rPr>
        <w:t>environnemental</w:t>
      </w:r>
      <w:r w:rsidRPr="001339FB">
        <w:rPr>
          <w:rFonts w:cs="Tahoma"/>
        </w:rPr>
        <w:t> : bordereau de réponse au critère « </w:t>
      </w:r>
      <w:r w:rsidRPr="006C2030">
        <w:rPr>
          <w:rFonts w:cs="Tahoma"/>
        </w:rPr>
        <w:t>Valeur environnementale de l’offre</w:t>
      </w:r>
      <w:r w:rsidRPr="001339FB">
        <w:rPr>
          <w:rFonts w:cs="Tahoma"/>
        </w:rPr>
        <w:t xml:space="preserve"> »</w:t>
      </w:r>
      <w:r>
        <w:rPr>
          <w:rFonts w:cs="Tahoma"/>
        </w:rPr>
        <w:t> ;</w:t>
      </w:r>
    </w:p>
    <w:p w14:paraId="2652FC07" w14:textId="17BD9479" w:rsidR="00DD701C" w:rsidRPr="004657BA" w:rsidRDefault="00DD701C" w:rsidP="007546BF">
      <w:pPr>
        <w:pStyle w:val="Titre"/>
        <w:numPr>
          <w:ilvl w:val="1"/>
          <w:numId w:val="5"/>
        </w:numPr>
        <w:rPr>
          <w:rFonts w:ascii="Arial" w:eastAsia="Garamond" w:hAnsi="Arial" w:cs="Arial"/>
          <w:spacing w:val="0"/>
          <w:kern w:val="0"/>
          <w:sz w:val="20"/>
          <w:szCs w:val="18"/>
          <w:lang w:eastAsia="fr-FR"/>
        </w:rPr>
      </w:pPr>
      <w:r w:rsidRPr="004657BA">
        <w:rPr>
          <w:rFonts w:ascii="Arial" w:eastAsia="Garamond" w:hAnsi="Arial" w:cs="Arial"/>
          <w:spacing w:val="0"/>
          <w:kern w:val="0"/>
          <w:sz w:val="20"/>
          <w:szCs w:val="18"/>
          <w:lang w:eastAsia="fr-FR"/>
        </w:rPr>
        <w:lastRenderedPageBreak/>
        <w:t xml:space="preserve">Annexe </w:t>
      </w:r>
      <w:r w:rsidR="00D7666F" w:rsidRPr="004657BA">
        <w:rPr>
          <w:rFonts w:ascii="Arial" w:eastAsia="Garamond" w:hAnsi="Arial" w:cs="Arial"/>
          <w:spacing w:val="0"/>
          <w:kern w:val="0"/>
          <w:sz w:val="20"/>
          <w:szCs w:val="18"/>
          <w:lang w:eastAsia="fr-FR"/>
        </w:rPr>
        <w:t>MT</w:t>
      </w:r>
      <w:r w:rsidRPr="004657BA">
        <w:rPr>
          <w:rFonts w:ascii="Arial" w:eastAsia="Garamond" w:hAnsi="Arial" w:cs="Arial"/>
          <w:spacing w:val="0"/>
          <w:kern w:val="0"/>
          <w:sz w:val="20"/>
          <w:szCs w:val="18"/>
          <w:lang w:eastAsia="fr-FR"/>
        </w:rPr>
        <w:t> : Mémoire Technique</w:t>
      </w:r>
      <w:r w:rsidR="009B355E" w:rsidRPr="004657BA">
        <w:rPr>
          <w:rFonts w:ascii="Arial" w:eastAsia="Garamond" w:hAnsi="Arial" w:cs="Arial"/>
          <w:spacing w:val="0"/>
          <w:kern w:val="0"/>
          <w:sz w:val="20"/>
          <w:szCs w:val="18"/>
          <w:lang w:eastAsia="fr-FR"/>
        </w:rPr>
        <w:t>.</w:t>
      </w:r>
    </w:p>
    <w:p w14:paraId="78A3C234" w14:textId="589B6FAF" w:rsidR="00DD701C" w:rsidRDefault="00DD701C" w:rsidP="009A073E">
      <w:pPr>
        <w:pStyle w:val="Paragraphedeliste"/>
        <w:numPr>
          <w:ilvl w:val="0"/>
          <w:numId w:val="0"/>
        </w:numPr>
        <w:spacing w:after="108" w:line="248" w:lineRule="auto"/>
      </w:pPr>
    </w:p>
    <w:p w14:paraId="64B4E208" w14:textId="2ACEC386" w:rsidR="002E22B3" w:rsidRDefault="00DD701C" w:rsidP="009D7405">
      <w:pPr>
        <w:pStyle w:val="Paragraphedeliste"/>
        <w:spacing w:before="240"/>
        <w:ind w:left="-284"/>
      </w:pPr>
      <w:r w:rsidRPr="002A25F1">
        <w:t>Pièce N°2 : Le présent</w:t>
      </w:r>
      <w:r w:rsidR="002E22B3" w:rsidRPr="002A25F1">
        <w:t xml:space="preserve"> cahier des clauses techniques</w:t>
      </w:r>
      <w:r w:rsidR="002E22B3">
        <w:t xml:space="preserve"> administratives</w:t>
      </w:r>
      <w:r w:rsidR="002E22B3" w:rsidRPr="002A25F1">
        <w:t xml:space="preserve"> particulières </w:t>
      </w:r>
      <w:r w:rsidR="002E22B3">
        <w:t>(</w:t>
      </w:r>
      <w:r w:rsidR="005815CB">
        <w:t>CCAP</w:t>
      </w:r>
      <w:r w:rsidR="005815CB" w:rsidRPr="00F97C3A">
        <w:rPr>
          <w:i/>
          <w:iCs/>
          <w:smallCaps/>
        </w:rPr>
        <w:t xml:space="preserve"> </w:t>
      </w:r>
      <w:r w:rsidR="00F97C3A" w:rsidRPr="00F97C3A">
        <w:rPr>
          <w:i/>
          <w:iCs/>
          <w:smallCaps/>
        </w:rPr>
        <w:t xml:space="preserve">PAD-03-25 </w:t>
      </w:r>
      <w:r w:rsidR="00897828" w:rsidRPr="00F97C3A">
        <w:rPr>
          <w:i/>
          <w:iCs/>
          <w:smallCaps/>
        </w:rPr>
        <w:t>SDPN</w:t>
      </w:r>
      <w:r w:rsidR="002E22B3" w:rsidRPr="002A25F1">
        <w:t>)</w:t>
      </w:r>
      <w:r w:rsidR="009B355E">
        <w:t>.</w:t>
      </w:r>
    </w:p>
    <w:p w14:paraId="4C175C2F" w14:textId="5AB40633" w:rsidR="00E33558" w:rsidRDefault="00DD701C" w:rsidP="00D0095F">
      <w:pPr>
        <w:pStyle w:val="Paragraphedeliste"/>
        <w:numPr>
          <w:ilvl w:val="0"/>
          <w:numId w:val="0"/>
        </w:numPr>
        <w:spacing w:before="240"/>
        <w:ind w:left="-284"/>
      </w:pPr>
      <w:r w:rsidRPr="002A25F1">
        <w:t xml:space="preserve"> </w:t>
      </w:r>
    </w:p>
    <w:p w14:paraId="5AAAE8F4" w14:textId="757B45FA" w:rsidR="00E33558" w:rsidRDefault="00DD701C" w:rsidP="009D7405">
      <w:pPr>
        <w:pStyle w:val="Paragraphedeliste"/>
        <w:spacing w:before="240"/>
        <w:ind w:left="-284"/>
      </w:pPr>
      <w:r w:rsidRPr="002A25F1">
        <w:t xml:space="preserve">Pièce N°3 : Le cahier des clauses techniques particulières </w:t>
      </w:r>
      <w:r w:rsidR="00897828">
        <w:t>(</w:t>
      </w:r>
      <w:r w:rsidR="005815CB" w:rsidRPr="002A25F1">
        <w:t>CCTP</w:t>
      </w:r>
      <w:r w:rsidR="005815CB" w:rsidRPr="00F97C3A">
        <w:rPr>
          <w:i/>
          <w:iCs/>
          <w:smallCaps/>
        </w:rPr>
        <w:t xml:space="preserve"> </w:t>
      </w:r>
      <w:r w:rsidR="00F97C3A" w:rsidRPr="00F97C3A">
        <w:rPr>
          <w:i/>
          <w:iCs/>
          <w:smallCaps/>
        </w:rPr>
        <w:t>PAD-03-25</w:t>
      </w:r>
      <w:r w:rsidR="00897828">
        <w:t xml:space="preserve"> </w:t>
      </w:r>
      <w:r w:rsidR="00897828" w:rsidRPr="00F97C3A">
        <w:rPr>
          <w:i/>
          <w:iCs/>
          <w:smallCaps/>
        </w:rPr>
        <w:t>SDPN</w:t>
      </w:r>
      <w:r w:rsidRPr="002A25F1">
        <w:t>)</w:t>
      </w:r>
      <w:r w:rsidR="009B355E">
        <w:t>.</w:t>
      </w:r>
    </w:p>
    <w:p w14:paraId="3475E075" w14:textId="77777777" w:rsidR="00E33558" w:rsidRDefault="00E33558" w:rsidP="009D7405">
      <w:pPr>
        <w:pStyle w:val="Paragraphedeliste"/>
        <w:numPr>
          <w:ilvl w:val="0"/>
          <w:numId w:val="0"/>
        </w:numPr>
        <w:spacing w:after="108" w:line="248" w:lineRule="auto"/>
        <w:ind w:left="-284"/>
      </w:pPr>
    </w:p>
    <w:p w14:paraId="01FB3160" w14:textId="5CC66710" w:rsidR="00E33558" w:rsidRDefault="00E33558" w:rsidP="009D7405">
      <w:pPr>
        <w:pStyle w:val="Paragraphedeliste"/>
        <w:spacing w:after="108" w:line="248" w:lineRule="auto"/>
        <w:ind w:left="-284"/>
      </w:pPr>
      <w:r w:rsidRPr="00E33558">
        <w:t xml:space="preserve">Pièce N°4 : </w:t>
      </w:r>
      <w:r>
        <w:t xml:space="preserve">L’annexe au dossier de candidature </w:t>
      </w:r>
      <w:r w:rsidR="00E52AA3">
        <w:t>(</w:t>
      </w:r>
      <w:r w:rsidR="005815CB">
        <w:t>ADC</w:t>
      </w:r>
      <w:r w:rsidR="005815CB" w:rsidRPr="00F97C3A">
        <w:rPr>
          <w:i/>
          <w:iCs/>
          <w:smallCaps/>
        </w:rPr>
        <w:t xml:space="preserve"> </w:t>
      </w:r>
      <w:r w:rsidR="00F97C3A" w:rsidRPr="00F97C3A">
        <w:rPr>
          <w:i/>
          <w:iCs/>
          <w:smallCaps/>
        </w:rPr>
        <w:t>PAD-03-25 SDPN</w:t>
      </w:r>
      <w:r w:rsidR="00E52AA3">
        <w:t>)</w:t>
      </w:r>
      <w:r w:rsidR="009B355E">
        <w:t>.</w:t>
      </w:r>
    </w:p>
    <w:p w14:paraId="59C39C8E" w14:textId="1CA1DF28" w:rsidR="00DD701C" w:rsidRPr="00BD48F4" w:rsidRDefault="00DD701C" w:rsidP="003C7C07">
      <w:pPr>
        <w:pStyle w:val="Paragraphedeliste"/>
        <w:numPr>
          <w:ilvl w:val="0"/>
          <w:numId w:val="0"/>
        </w:numPr>
        <w:spacing w:after="108" w:line="248" w:lineRule="auto"/>
        <w:ind w:left="720"/>
      </w:pPr>
    </w:p>
    <w:p w14:paraId="4E7E6B22" w14:textId="22137D25" w:rsidR="00DD701C" w:rsidRPr="00DD701C" w:rsidRDefault="00DD701C" w:rsidP="00DD701C">
      <w:pPr>
        <w:pStyle w:val="Titre2"/>
      </w:pPr>
      <w:bookmarkStart w:id="22" w:name="_Toc161406924"/>
      <w:bookmarkStart w:id="23" w:name="_Toc208220917"/>
      <w:r w:rsidRPr="00BD48F4">
        <w:t xml:space="preserve">Les </w:t>
      </w:r>
      <w:r>
        <w:t>p</w:t>
      </w:r>
      <w:r w:rsidRPr="00BD48F4">
        <w:t>ièces générales (</w:t>
      </w:r>
      <w:r w:rsidR="00F65780">
        <w:t>*</w:t>
      </w:r>
      <w:r w:rsidRPr="00BD48F4">
        <w:t>)</w:t>
      </w:r>
      <w:bookmarkEnd w:id="22"/>
      <w:bookmarkEnd w:id="23"/>
    </w:p>
    <w:p w14:paraId="52DF611A" w14:textId="60531A8B" w:rsidR="00DD701C" w:rsidRDefault="00DD701C" w:rsidP="009D7405">
      <w:pPr>
        <w:pStyle w:val="Paragraphedeliste"/>
        <w:spacing w:after="108" w:line="248" w:lineRule="auto"/>
        <w:ind w:left="-284"/>
      </w:pPr>
      <w:r w:rsidRPr="00BD48F4">
        <w:t>Pièce N°5 : Le code des marchés publics</w:t>
      </w:r>
      <w:r w:rsidR="009B355E">
        <w:t>.</w:t>
      </w:r>
    </w:p>
    <w:p w14:paraId="3AF308D0" w14:textId="77777777" w:rsidR="00DD701C" w:rsidRPr="00BD48F4" w:rsidRDefault="00DD701C" w:rsidP="009D7405">
      <w:pPr>
        <w:pStyle w:val="Paragraphedeliste"/>
        <w:numPr>
          <w:ilvl w:val="0"/>
          <w:numId w:val="0"/>
        </w:numPr>
        <w:spacing w:after="108" w:line="248" w:lineRule="auto"/>
        <w:ind w:left="-284"/>
      </w:pPr>
    </w:p>
    <w:p w14:paraId="5E9D001B" w14:textId="6F2E365D" w:rsidR="00DD701C" w:rsidRPr="00BD48F4" w:rsidRDefault="00DD701C" w:rsidP="009D7405">
      <w:pPr>
        <w:pStyle w:val="Paragraphedeliste"/>
        <w:spacing w:after="108" w:line="248" w:lineRule="auto"/>
        <w:ind w:left="-284"/>
      </w:pPr>
      <w:r w:rsidRPr="00BD48F4">
        <w:t xml:space="preserve">Pièce N°6 : Le cahier des clauses administratives générales </w:t>
      </w:r>
      <w:r>
        <w:t>e</w:t>
      </w:r>
      <w:r w:rsidRPr="00BD48F4">
        <w:t>t dit CCAG/</w:t>
      </w:r>
      <w:r>
        <w:t>PI</w:t>
      </w:r>
      <w:r w:rsidR="009B355E">
        <w:t>.</w:t>
      </w:r>
      <w:r w:rsidRPr="00BD48F4">
        <w:t xml:space="preserve"> </w:t>
      </w:r>
      <w:r>
        <w:t>(</w:t>
      </w:r>
      <w:r w:rsidR="00F65780">
        <w:t>*</w:t>
      </w:r>
      <w:r>
        <w:t>)</w:t>
      </w:r>
    </w:p>
    <w:p w14:paraId="4819E798" w14:textId="21F30A41" w:rsidR="00DD701C" w:rsidRPr="00BD48F4" w:rsidRDefault="00DD701C" w:rsidP="00DD701C">
      <w:r w:rsidRPr="00BD48F4">
        <w:t>(</w:t>
      </w:r>
      <w:r w:rsidR="00F65780">
        <w:t>*</w:t>
      </w:r>
      <w:r w:rsidRPr="00BD48F4">
        <w:t>) Documents non joints dont le titulaire déclare avoir pris connaissance</w:t>
      </w:r>
      <w:r w:rsidR="009B355E">
        <w:t>.</w:t>
      </w:r>
    </w:p>
    <w:p w14:paraId="24D69F9E" w14:textId="77777777" w:rsidR="00DD701C" w:rsidRPr="00BD48F4" w:rsidRDefault="00DD701C" w:rsidP="00DD701C">
      <w:r w:rsidRPr="00BD48F4">
        <w:t xml:space="preserve">Les documents applicables sont ceux en vigueur à la date de signature par le titulaire du présent marché. </w:t>
      </w:r>
    </w:p>
    <w:p w14:paraId="1C5B9692" w14:textId="5EE24C7C" w:rsidR="00DD701C" w:rsidRDefault="00DD701C" w:rsidP="009D7405">
      <w:r w:rsidRPr="00BD48F4">
        <w:t>Seuls les exemplaires conservés dans les locaux d</w:t>
      </w:r>
      <w:r w:rsidR="00F65780">
        <w:t xml:space="preserve">u </w:t>
      </w:r>
      <w:r w:rsidR="00433D73" w:rsidRPr="00433D73">
        <w:t>GPM-Guyane</w:t>
      </w:r>
      <w:r w:rsidR="00433D73">
        <w:t xml:space="preserve"> </w:t>
      </w:r>
      <w:r w:rsidRPr="00BD48F4">
        <w:t>font foi.</w:t>
      </w:r>
    </w:p>
    <w:p w14:paraId="31817D31" w14:textId="1AA9444C" w:rsidR="000C358F" w:rsidRPr="000C358F" w:rsidRDefault="000C358F" w:rsidP="00394727">
      <w:pPr>
        <w:pStyle w:val="Titre1"/>
      </w:pPr>
      <w:bookmarkStart w:id="24" w:name="_Toc161406941"/>
      <w:r>
        <w:t xml:space="preserve"> </w:t>
      </w:r>
      <w:bookmarkStart w:id="25" w:name="_Toc208220918"/>
      <w:r w:rsidRPr="00BD48F4">
        <w:t xml:space="preserve">PRIX </w:t>
      </w:r>
      <w:r w:rsidR="002D7ACA">
        <w:t>–</w:t>
      </w:r>
      <w:r w:rsidRPr="00BD48F4">
        <w:t xml:space="preserve"> </w:t>
      </w:r>
      <w:bookmarkEnd w:id="24"/>
      <w:r w:rsidR="002D7ACA">
        <w:t>REVISION DES PRIX</w:t>
      </w:r>
      <w:bookmarkEnd w:id="25"/>
    </w:p>
    <w:p w14:paraId="5A43D7B7" w14:textId="6D0AE44C" w:rsidR="000C358F" w:rsidRPr="00BD48F4" w:rsidRDefault="000C358F" w:rsidP="007546BF">
      <w:pPr>
        <w:pStyle w:val="Titre2"/>
      </w:pPr>
      <w:bookmarkStart w:id="26" w:name="_Toc161406942"/>
      <w:bookmarkStart w:id="27" w:name="_Toc208220919"/>
      <w:r w:rsidRPr="000C358F">
        <w:t>Formes des prix</w:t>
      </w:r>
      <w:bookmarkEnd w:id="26"/>
      <w:bookmarkEnd w:id="27"/>
      <w:r w:rsidRPr="000C358F">
        <w:t xml:space="preserve"> </w:t>
      </w:r>
    </w:p>
    <w:p w14:paraId="4C0F873B" w14:textId="761C735C" w:rsidR="00002A66" w:rsidRPr="00002A66" w:rsidRDefault="00F97C3A" w:rsidP="00002A66">
      <w:pPr>
        <w:spacing w:before="240" w:after="0" w:line="240" w:lineRule="auto"/>
        <w:ind w:left="-1134"/>
        <w:jc w:val="both"/>
      </w:pPr>
      <w:bookmarkStart w:id="28" w:name="_Toc161406943"/>
      <w:r w:rsidRPr="00F97C3A">
        <w:t>Les prix sont établis de manière ferme et définitive. Ils ne sont pas révisables pendant toute la durée du marché.</w:t>
      </w:r>
    </w:p>
    <w:p w14:paraId="489497D9" w14:textId="6EFB059D" w:rsidR="002B66BC" w:rsidRPr="002B66BC" w:rsidRDefault="002B66BC" w:rsidP="002B66BC">
      <w:pPr>
        <w:pStyle w:val="Titre2"/>
        <w:numPr>
          <w:ilvl w:val="1"/>
          <w:numId w:val="34"/>
        </w:numPr>
      </w:pPr>
      <w:bookmarkStart w:id="29" w:name="_Toc204685247"/>
      <w:bookmarkStart w:id="30" w:name="_Toc208220920"/>
      <w:bookmarkEnd w:id="28"/>
      <w:r w:rsidRPr="00E86199">
        <w:t>Structuration des p</w:t>
      </w:r>
      <w:bookmarkEnd w:id="29"/>
      <w:r>
        <w:t>hases</w:t>
      </w:r>
      <w:bookmarkEnd w:id="30"/>
    </w:p>
    <w:p w14:paraId="7E30DFCC" w14:textId="0C20C2E1" w:rsidR="002B66BC" w:rsidRPr="002B66BC" w:rsidRDefault="002B66BC" w:rsidP="002B66BC">
      <w:pPr>
        <w:spacing w:before="240"/>
        <w:ind w:left="-1134"/>
        <w:jc w:val="both"/>
        <w:rPr>
          <w:lang w:val="fr-BE" w:eastAsia="fr-FR"/>
        </w:rPr>
      </w:pPr>
      <w:r w:rsidRPr="002B66BC">
        <w:rPr>
          <w:lang w:val="fr-BE" w:eastAsia="fr-FR"/>
        </w:rPr>
        <w:t xml:space="preserve">Le présent marché est structuré en </w:t>
      </w:r>
      <w:r w:rsidRPr="002B66BC">
        <w:rPr>
          <w:b/>
          <w:bCs/>
          <w:lang w:val="fr-BE" w:eastAsia="fr-FR"/>
        </w:rPr>
        <w:t>cinq phases successives</w:t>
      </w:r>
      <w:r w:rsidRPr="002B66BC">
        <w:rPr>
          <w:lang w:val="fr-BE" w:eastAsia="fr-FR"/>
        </w:rPr>
        <w:t>, correspondant aux étapes de conception et de réalisation du Schéma Directeur du Patrimoine Naturel (SDPN) du G</w:t>
      </w:r>
      <w:r>
        <w:rPr>
          <w:lang w:val="fr-BE" w:eastAsia="fr-FR"/>
        </w:rPr>
        <w:t>PM-Guyane</w:t>
      </w:r>
      <w:r w:rsidRPr="002B66BC">
        <w:rPr>
          <w:lang w:val="fr-BE" w:eastAsia="fr-FR"/>
        </w:rPr>
        <w:t>.</w:t>
      </w:r>
    </w:p>
    <w:p w14:paraId="34069790" w14:textId="77777777" w:rsidR="002B66BC" w:rsidRPr="002B66BC" w:rsidRDefault="002B66BC" w:rsidP="002B66BC">
      <w:pPr>
        <w:spacing w:before="240"/>
        <w:ind w:left="-1134"/>
        <w:jc w:val="both"/>
        <w:rPr>
          <w:lang w:val="fr-BE" w:eastAsia="fr-FR"/>
        </w:rPr>
      </w:pPr>
      <w:r w:rsidRPr="002B66BC">
        <w:rPr>
          <w:lang w:val="fr-BE" w:eastAsia="fr-FR"/>
        </w:rPr>
        <w:t xml:space="preserve">Chaque phase fait l’objet d’un </w:t>
      </w:r>
      <w:r w:rsidRPr="002B66BC">
        <w:rPr>
          <w:b/>
          <w:bCs/>
          <w:lang w:val="fr-BE" w:eastAsia="fr-FR"/>
        </w:rPr>
        <w:t>prix global et forfaitaire</w:t>
      </w:r>
      <w:r w:rsidRPr="002B66BC">
        <w:rPr>
          <w:lang w:val="fr-BE" w:eastAsia="fr-FR"/>
        </w:rPr>
        <w:t>, intégrant l’ensemble des prestations attendues telles que décrites dans le Cahier des Clauses Techniques Particulières (CCTP) et les pièces contractuelles.</w:t>
      </w:r>
    </w:p>
    <w:p w14:paraId="7BF12BED" w14:textId="77777777" w:rsidR="002B66BC" w:rsidRPr="002B66BC" w:rsidRDefault="002B66BC" w:rsidP="002B66BC">
      <w:pPr>
        <w:numPr>
          <w:ilvl w:val="0"/>
          <w:numId w:val="36"/>
        </w:numPr>
        <w:spacing w:before="240"/>
        <w:jc w:val="both"/>
        <w:rPr>
          <w:lang w:val="fr-BE" w:eastAsia="fr-FR"/>
        </w:rPr>
      </w:pPr>
      <w:r w:rsidRPr="002B66BC">
        <w:rPr>
          <w:b/>
          <w:bCs/>
          <w:lang w:val="fr-BE" w:eastAsia="fr-FR"/>
        </w:rPr>
        <w:t>Phase 1 – Diagnostic environnemental</w:t>
      </w:r>
      <w:r w:rsidRPr="002B66BC">
        <w:rPr>
          <w:lang w:val="fr-BE" w:eastAsia="fr-FR"/>
        </w:rPr>
        <w:t xml:space="preserve"> : Cette phase couvre le recueil et l’analyse des données existantes, la réalisation éventuelle d’inventaires complémentaires de la faune, de la flore et des habitats (terrestres, aquatiques et marins), ainsi que la production d’un rapport détaillé de diagnostic.</w:t>
      </w:r>
    </w:p>
    <w:p w14:paraId="6E2F2146" w14:textId="386E1EF7" w:rsidR="002B66BC" w:rsidRPr="002B66BC" w:rsidRDefault="002B66BC" w:rsidP="002B66BC">
      <w:pPr>
        <w:numPr>
          <w:ilvl w:val="0"/>
          <w:numId w:val="36"/>
        </w:numPr>
        <w:spacing w:before="240"/>
        <w:jc w:val="both"/>
        <w:rPr>
          <w:lang w:val="fr-BE" w:eastAsia="fr-FR"/>
        </w:rPr>
      </w:pPr>
      <w:r w:rsidRPr="002B66BC">
        <w:rPr>
          <w:b/>
          <w:bCs/>
          <w:lang w:val="fr-BE" w:eastAsia="fr-FR"/>
        </w:rPr>
        <w:t>Phase 2 – Identification des enjeux environnementaux et stratégie EEE</w:t>
      </w:r>
      <w:r w:rsidR="00897828">
        <w:rPr>
          <w:b/>
          <w:bCs/>
          <w:lang w:val="fr-BE" w:eastAsia="fr-FR"/>
        </w:rPr>
        <w:t xml:space="preserve"> </w:t>
      </w:r>
      <w:r w:rsidRPr="002B66BC">
        <w:rPr>
          <w:lang w:val="fr-BE" w:eastAsia="fr-FR"/>
        </w:rPr>
        <w:t>: Cette phase comprend l’analyse et la hiérarchisation des enjeux écologiques identifiés</w:t>
      </w:r>
      <w:r w:rsidR="00CD2936">
        <w:rPr>
          <w:lang w:val="fr-BE" w:eastAsia="fr-FR"/>
        </w:rPr>
        <w:t xml:space="preserve"> pour une politique de préservation</w:t>
      </w:r>
      <w:r w:rsidRPr="002B66BC">
        <w:rPr>
          <w:lang w:val="fr-BE" w:eastAsia="fr-FR"/>
        </w:rPr>
        <w:t xml:space="preserve">, </w:t>
      </w:r>
      <w:r w:rsidR="00CD2936">
        <w:rPr>
          <w:lang w:val="fr-BE" w:eastAsia="fr-FR"/>
        </w:rPr>
        <w:t xml:space="preserve">ainsi que </w:t>
      </w:r>
      <w:r w:rsidRPr="002B66BC">
        <w:rPr>
          <w:lang w:val="fr-BE" w:eastAsia="fr-FR"/>
        </w:rPr>
        <w:t xml:space="preserve">la définition d’une stratégie de </w:t>
      </w:r>
      <w:r w:rsidR="00611BF3">
        <w:rPr>
          <w:lang w:val="fr-BE" w:eastAsia="fr-FR"/>
        </w:rPr>
        <w:t>prévention</w:t>
      </w:r>
      <w:r w:rsidRPr="002B66BC">
        <w:rPr>
          <w:lang w:val="fr-BE" w:eastAsia="fr-FR"/>
        </w:rPr>
        <w:t xml:space="preserve"> des espèces exotiques envahissantes</w:t>
      </w:r>
      <w:r w:rsidR="00CD2936">
        <w:rPr>
          <w:lang w:val="fr-BE" w:eastAsia="fr-FR"/>
        </w:rPr>
        <w:t>.</w:t>
      </w:r>
    </w:p>
    <w:p w14:paraId="211C7623" w14:textId="77777777" w:rsidR="002B66BC" w:rsidRPr="002B66BC" w:rsidRDefault="002B66BC" w:rsidP="002B66BC">
      <w:pPr>
        <w:numPr>
          <w:ilvl w:val="0"/>
          <w:numId w:val="36"/>
        </w:numPr>
        <w:spacing w:before="240"/>
        <w:jc w:val="both"/>
        <w:rPr>
          <w:lang w:val="fr-BE" w:eastAsia="fr-FR"/>
        </w:rPr>
      </w:pPr>
      <w:r w:rsidRPr="002B66BC">
        <w:rPr>
          <w:b/>
          <w:bCs/>
          <w:lang w:val="fr-BE" w:eastAsia="fr-FR"/>
        </w:rPr>
        <w:t>Phase 3 – Croisement des enjeux portuaires et des enjeux écologiques</w:t>
      </w:r>
      <w:r w:rsidRPr="002B66BC">
        <w:rPr>
          <w:lang w:val="fr-BE" w:eastAsia="fr-FR"/>
        </w:rPr>
        <w:t xml:space="preserve"> : Cette phase couvre le rapprochement entre les projets d’aménagement portuaires à court, moyen et long terme et les enjeux écologiques identifiés, l’analyse des impacts potentiels et la formulation de propositions compatibles avec la stratégie ERC (éviter, réduire, compenser) et les solutions fondées sur la nature.</w:t>
      </w:r>
    </w:p>
    <w:p w14:paraId="5BECF25B" w14:textId="77777777" w:rsidR="002B66BC" w:rsidRPr="002B66BC" w:rsidRDefault="002B66BC" w:rsidP="002B66BC">
      <w:pPr>
        <w:numPr>
          <w:ilvl w:val="0"/>
          <w:numId w:val="36"/>
        </w:numPr>
        <w:spacing w:before="240"/>
        <w:jc w:val="both"/>
        <w:rPr>
          <w:lang w:val="fr-BE" w:eastAsia="fr-FR"/>
        </w:rPr>
      </w:pPr>
      <w:r w:rsidRPr="002B66BC">
        <w:rPr>
          <w:b/>
          <w:bCs/>
          <w:lang w:val="fr-BE" w:eastAsia="fr-FR"/>
        </w:rPr>
        <w:t>Phase 4 – Mesures de conservation et de suivi</w:t>
      </w:r>
      <w:r w:rsidRPr="002B66BC">
        <w:rPr>
          <w:lang w:val="fr-BE" w:eastAsia="fr-FR"/>
        </w:rPr>
        <w:t xml:space="preserve"> : Cette phase comprend la formulation de préconisations de protection et de conservation, la proposition de mesures de restauration du patrimoine naturel, la définition d’un dispositif de suivi écologique et partenarial, ainsi que la mise en place d’outils de suivi et de partage des connaissances.</w:t>
      </w:r>
    </w:p>
    <w:p w14:paraId="2C1A7E80" w14:textId="7590B6E2" w:rsidR="002B66BC" w:rsidRPr="002B66BC" w:rsidRDefault="002B66BC" w:rsidP="002B66BC">
      <w:pPr>
        <w:numPr>
          <w:ilvl w:val="0"/>
          <w:numId w:val="36"/>
        </w:numPr>
        <w:spacing w:before="240"/>
        <w:jc w:val="both"/>
        <w:rPr>
          <w:lang w:val="fr-BE" w:eastAsia="fr-FR"/>
        </w:rPr>
      </w:pPr>
      <w:r w:rsidRPr="002B66BC">
        <w:rPr>
          <w:b/>
          <w:bCs/>
          <w:lang w:val="fr-BE" w:eastAsia="fr-FR"/>
        </w:rPr>
        <w:lastRenderedPageBreak/>
        <w:t>Phase 5 – Rédaction du Schéma Directeur du Patrimoine Naturel (SDPN)</w:t>
      </w:r>
      <w:r w:rsidRPr="002B66BC">
        <w:rPr>
          <w:lang w:val="fr-BE" w:eastAsia="fr-FR"/>
        </w:rPr>
        <w:t xml:space="preserve"> : Cette phase couvre la rédaction du document final intégrant les quatre phases précédentes, la réalisation des supports cartographiques </w:t>
      </w:r>
      <w:r w:rsidR="00CD2936">
        <w:rPr>
          <w:lang w:val="fr-BE" w:eastAsia="fr-FR"/>
        </w:rPr>
        <w:t xml:space="preserve">thématiques </w:t>
      </w:r>
      <w:r w:rsidRPr="002B66BC">
        <w:rPr>
          <w:lang w:val="fr-BE" w:eastAsia="fr-FR"/>
        </w:rPr>
        <w:t>et illustratifs,</w:t>
      </w:r>
      <w:r w:rsidR="00CD2936" w:rsidRPr="00CD2936">
        <w:rPr>
          <w:lang w:val="fr-BE" w:eastAsia="fr-FR"/>
        </w:rPr>
        <w:t xml:space="preserve"> </w:t>
      </w:r>
      <w:r w:rsidR="00CD2936" w:rsidRPr="002B66BC">
        <w:rPr>
          <w:lang w:val="fr-BE" w:eastAsia="fr-FR"/>
        </w:rPr>
        <w:t>et l’élaboration de cartographies intégrées dans le système d’information géographique (SIG).</w:t>
      </w:r>
      <w:r w:rsidRPr="002B66BC">
        <w:rPr>
          <w:lang w:val="fr-BE" w:eastAsia="fr-FR"/>
        </w:rPr>
        <w:t xml:space="preserve"> ainsi qu’une synthèse destinée à la gouvernance du port et</w:t>
      </w:r>
      <w:r w:rsidR="00CD2936">
        <w:rPr>
          <w:lang w:val="fr-BE" w:eastAsia="fr-FR"/>
        </w:rPr>
        <w:t xml:space="preserve"> un support</w:t>
      </w:r>
      <w:r w:rsidRPr="002B66BC">
        <w:rPr>
          <w:lang w:val="fr-BE" w:eastAsia="fr-FR"/>
        </w:rPr>
        <w:t xml:space="preserve"> </w:t>
      </w:r>
      <w:r w:rsidR="00CD2936">
        <w:rPr>
          <w:lang w:val="fr-BE" w:eastAsia="fr-FR"/>
        </w:rPr>
        <w:t>de</w:t>
      </w:r>
      <w:r w:rsidRPr="002B66BC">
        <w:rPr>
          <w:lang w:val="fr-BE" w:eastAsia="fr-FR"/>
        </w:rPr>
        <w:t xml:space="preserve"> communication.</w:t>
      </w:r>
    </w:p>
    <w:p w14:paraId="0A7463F6" w14:textId="77777777" w:rsidR="00D73217" w:rsidRDefault="00A63084" w:rsidP="00D73217">
      <w:pPr>
        <w:ind w:left="-1134"/>
        <w:jc w:val="both"/>
        <w:rPr>
          <w:lang w:val="fr-BE" w:eastAsia="fr-FR"/>
        </w:rPr>
      </w:pPr>
      <w:r w:rsidRPr="00A63084">
        <w:rPr>
          <w:lang w:val="fr-BE" w:eastAsia="fr-FR"/>
        </w:rPr>
        <w:t xml:space="preserve">Les phases ne donnent lieu à aucune facturation distincte par tâche ou par sous-prestation technique. Le prix est fixé de manière forfaitaire pour chaque phase, </w:t>
      </w:r>
      <w:bookmarkStart w:id="31" w:name="_Toc208220921"/>
      <w:bookmarkStart w:id="32" w:name="_Toc161406944"/>
    </w:p>
    <w:p w14:paraId="441EB5EF" w14:textId="24346E33" w:rsidR="002D7ACA" w:rsidRDefault="000C358F" w:rsidP="00D73217">
      <w:pPr>
        <w:pStyle w:val="Titre2"/>
      </w:pPr>
      <w:r w:rsidRPr="002D7ACA">
        <w:t>Contenu des prix</w:t>
      </w:r>
      <w:bookmarkEnd w:id="31"/>
      <w:r w:rsidRPr="002D7ACA">
        <w:t xml:space="preserve"> </w:t>
      </w:r>
      <w:bookmarkEnd w:id="32"/>
    </w:p>
    <w:p w14:paraId="276F2CCA" w14:textId="77777777" w:rsidR="002B66BC" w:rsidRPr="002B66BC" w:rsidRDefault="002B66BC" w:rsidP="002B66BC">
      <w:pPr>
        <w:ind w:left="-1134"/>
        <w:jc w:val="both"/>
        <w:rPr>
          <w:lang w:val="fr-BE" w:eastAsia="fr-FR"/>
        </w:rPr>
      </w:pPr>
      <w:r w:rsidRPr="002B66BC">
        <w:rPr>
          <w:lang w:val="fr-BE" w:eastAsia="fr-FR"/>
        </w:rPr>
        <w:t>Le prix forfaitaire couvre l’exécution de l’ensemble des prestations décrites dans les pièces contractuelles, notamment le Cahier des Clauses Techniques Particulières (CCTP).</w:t>
      </w:r>
    </w:p>
    <w:p w14:paraId="6F15F9E0" w14:textId="77777777" w:rsidR="002B66BC" w:rsidRPr="002B66BC" w:rsidRDefault="002B66BC" w:rsidP="002B66BC">
      <w:pPr>
        <w:ind w:left="-1134"/>
        <w:jc w:val="both"/>
        <w:rPr>
          <w:lang w:val="fr-BE" w:eastAsia="fr-FR"/>
        </w:rPr>
      </w:pPr>
      <w:r w:rsidRPr="002B66BC">
        <w:rPr>
          <w:lang w:val="fr-BE" w:eastAsia="fr-FR"/>
        </w:rPr>
        <w:t>Les prix, exprimés en euros, comprennent :</w:t>
      </w:r>
    </w:p>
    <w:p w14:paraId="392004EE" w14:textId="7B223AE3" w:rsidR="002B66BC" w:rsidRPr="002B66BC" w:rsidRDefault="002B66BC" w:rsidP="002B66BC">
      <w:pPr>
        <w:numPr>
          <w:ilvl w:val="0"/>
          <w:numId w:val="37"/>
        </w:numPr>
        <w:rPr>
          <w:lang w:val="fr-BE" w:eastAsia="fr-FR"/>
        </w:rPr>
      </w:pPr>
      <w:r w:rsidRPr="002B66BC">
        <w:rPr>
          <w:lang w:val="fr-BE" w:eastAsia="fr-FR"/>
        </w:rPr>
        <w:t>L’ensemble des vacations et du temps passé pour la réalisation des inventaires, analyses, cartographies et livrables attendus ;</w:t>
      </w:r>
    </w:p>
    <w:p w14:paraId="1C69F05C" w14:textId="77E16B21" w:rsidR="002B66BC" w:rsidRPr="002B66BC" w:rsidRDefault="002B66BC" w:rsidP="002B66BC">
      <w:pPr>
        <w:numPr>
          <w:ilvl w:val="0"/>
          <w:numId w:val="37"/>
        </w:numPr>
        <w:rPr>
          <w:lang w:val="fr-BE" w:eastAsia="fr-FR"/>
        </w:rPr>
      </w:pPr>
      <w:r w:rsidRPr="002B66BC">
        <w:rPr>
          <w:lang w:val="fr-BE" w:eastAsia="fr-FR"/>
        </w:rPr>
        <w:t>Les dépenses de main-d’œuvre et d’expertise (écologie terrestre, aquatique, marine, géomatique, etc.) ;</w:t>
      </w:r>
    </w:p>
    <w:p w14:paraId="2736C15B" w14:textId="751F4F8A" w:rsidR="002B66BC" w:rsidRPr="002B66BC" w:rsidRDefault="002B66BC" w:rsidP="002B66BC">
      <w:pPr>
        <w:numPr>
          <w:ilvl w:val="0"/>
          <w:numId w:val="37"/>
        </w:numPr>
        <w:rPr>
          <w:lang w:val="fr-BE" w:eastAsia="fr-FR"/>
        </w:rPr>
      </w:pPr>
      <w:r w:rsidRPr="002B66BC">
        <w:rPr>
          <w:lang w:val="fr-BE" w:eastAsia="fr-FR"/>
        </w:rPr>
        <w:t>Les fournitures et moyens techniques nécessaires (logiciels, matériels, supports de communication, outils de suivi, etc.) ;</w:t>
      </w:r>
    </w:p>
    <w:p w14:paraId="1528A8B2" w14:textId="77777777" w:rsidR="002B66BC" w:rsidRDefault="002B66BC" w:rsidP="002B66BC">
      <w:pPr>
        <w:numPr>
          <w:ilvl w:val="0"/>
          <w:numId w:val="37"/>
        </w:numPr>
        <w:rPr>
          <w:lang w:val="fr-BE" w:eastAsia="fr-FR"/>
        </w:rPr>
      </w:pPr>
      <w:r w:rsidRPr="002B66BC">
        <w:rPr>
          <w:lang w:val="fr-BE" w:eastAsia="fr-FR"/>
        </w:rPr>
        <w:t>La couverture des risques liés à l’exécution de la mission, notamment pour les personnels et les tiers lors des interventions sur site ;</w:t>
      </w:r>
    </w:p>
    <w:p w14:paraId="3885E128" w14:textId="423E801D" w:rsidR="00A63084" w:rsidRPr="002B66BC" w:rsidRDefault="00A63084" w:rsidP="00A63084">
      <w:pPr>
        <w:numPr>
          <w:ilvl w:val="0"/>
          <w:numId w:val="37"/>
        </w:numPr>
        <w:jc w:val="both"/>
        <w:rPr>
          <w:lang w:val="fr-BE" w:eastAsia="fr-FR"/>
        </w:rPr>
      </w:pPr>
      <w:r w:rsidRPr="00A63084">
        <w:rPr>
          <w:lang w:eastAsia="fr-FR"/>
        </w:rPr>
        <w:t>Les quantités prévisionnelles indiquées dans le Détail Quantitatif Estimatif (DQE) sont données à titre indicatif pour l’analyse des offres et ne présentent pas de valeur contractuelle. Seules les quantités effectivement validées par le maître d’ouvrage seront réglées.</w:t>
      </w:r>
    </w:p>
    <w:p w14:paraId="54D36BF3" w14:textId="5D7418BA" w:rsidR="002B66BC" w:rsidRPr="002B66BC" w:rsidRDefault="002B66BC" w:rsidP="002B66BC">
      <w:pPr>
        <w:ind w:left="-1134"/>
        <w:rPr>
          <w:lang w:val="fr-BE" w:eastAsia="fr-FR"/>
        </w:rPr>
      </w:pPr>
      <w:r w:rsidRPr="002B66BC">
        <w:rPr>
          <w:lang w:val="fr-BE" w:eastAsia="fr-FR"/>
        </w:rPr>
        <w:t>Aucun supplément de quelque nature que ce soit ne pourra être facturé en dehors des prix prévus au marché.</w:t>
      </w:r>
    </w:p>
    <w:p w14:paraId="09028D5A" w14:textId="4C96E5D7" w:rsidR="00D73217" w:rsidRDefault="002B66BC" w:rsidP="00E67FC0">
      <w:pPr>
        <w:ind w:left="-1134"/>
        <w:rPr>
          <w:lang w:val="fr-BE" w:eastAsia="fr-FR"/>
        </w:rPr>
      </w:pPr>
      <w:r w:rsidRPr="002B66BC">
        <w:rPr>
          <w:lang w:val="fr-BE" w:eastAsia="fr-FR"/>
        </w:rPr>
        <w:t>Il est rappelé qu’</w:t>
      </w:r>
      <w:r w:rsidRPr="002B66BC">
        <w:rPr>
          <w:b/>
          <w:bCs/>
          <w:lang w:val="fr-BE" w:eastAsia="fr-FR"/>
        </w:rPr>
        <w:t>aucune TVA n’est applicable en Guyane</w:t>
      </w:r>
      <w:r w:rsidRPr="002B66BC">
        <w:rPr>
          <w:lang w:val="fr-BE" w:eastAsia="fr-FR"/>
        </w:rPr>
        <w:t>.</w:t>
      </w:r>
    </w:p>
    <w:p w14:paraId="7C862909" w14:textId="5B02B6A5" w:rsidR="00D73217" w:rsidRDefault="00D73217" w:rsidP="00D73217">
      <w:pPr>
        <w:pStyle w:val="Titre2"/>
        <w:rPr>
          <w:lang w:val="fr-BE"/>
        </w:rPr>
      </w:pPr>
      <w:r>
        <w:rPr>
          <w:lang w:val="fr-BE"/>
        </w:rPr>
        <w:t>Déplacements</w:t>
      </w:r>
    </w:p>
    <w:p w14:paraId="49A8A5BB" w14:textId="77777777" w:rsidR="00D73217" w:rsidRPr="00D73217" w:rsidRDefault="00D73217" w:rsidP="00E67FC0">
      <w:pPr>
        <w:ind w:left="-1134"/>
        <w:jc w:val="both"/>
        <w:rPr>
          <w:lang w:val="fr-BE" w:eastAsia="fr-FR"/>
        </w:rPr>
      </w:pPr>
      <w:r w:rsidRPr="00D73217">
        <w:rPr>
          <w:lang w:val="fr-BE" w:eastAsia="fr-FR"/>
        </w:rPr>
        <w:t>Les frais de déplacements, de restauration et, plus généralement, l’ensemble des frais engagés par le titulaire pour l’exécution de la mission sont réputés compris dans les prix forfaitaires des différentes phases du DPGF.</w:t>
      </w:r>
    </w:p>
    <w:p w14:paraId="12067F85" w14:textId="18719918" w:rsidR="00E67FC0" w:rsidRPr="00D73217" w:rsidRDefault="00D73217" w:rsidP="00D42C17">
      <w:pPr>
        <w:ind w:left="-1134"/>
        <w:jc w:val="both"/>
        <w:rPr>
          <w:lang w:val="fr-BE" w:eastAsia="fr-FR"/>
        </w:rPr>
      </w:pPr>
      <w:r w:rsidRPr="00D73217">
        <w:rPr>
          <w:lang w:val="fr-BE" w:eastAsia="fr-FR"/>
        </w:rPr>
        <w:t>Aucun remboursement séparé ne pourra être sollicité par le titulaire au titre de ces frais.</w:t>
      </w:r>
    </w:p>
    <w:p w14:paraId="72988EB1" w14:textId="3004B4E6" w:rsidR="004A1961" w:rsidRPr="00D73217" w:rsidRDefault="002D7ACA" w:rsidP="00D73217">
      <w:pPr>
        <w:pStyle w:val="Titre2"/>
        <w:rPr>
          <w:lang w:val="fr-BE"/>
        </w:rPr>
      </w:pPr>
      <w:bookmarkStart w:id="33" w:name="_Toc208220922"/>
      <w:r w:rsidRPr="00D73217">
        <w:rPr>
          <w:lang w:val="fr-BE"/>
        </w:rPr>
        <w:t>Révision des prix</w:t>
      </w:r>
      <w:bookmarkEnd w:id="33"/>
      <w:r w:rsidRPr="00D73217">
        <w:rPr>
          <w:lang w:val="fr-BE"/>
        </w:rPr>
        <w:t xml:space="preserve"> </w:t>
      </w:r>
    </w:p>
    <w:p w14:paraId="288F450F" w14:textId="77777777" w:rsidR="002B66BC" w:rsidRPr="00D73217" w:rsidRDefault="002B66BC" w:rsidP="00E67FC0">
      <w:pPr>
        <w:ind w:left="-1134"/>
        <w:jc w:val="both"/>
        <w:rPr>
          <w:lang w:val="fr-BE" w:eastAsia="fr-FR"/>
        </w:rPr>
      </w:pPr>
      <w:r w:rsidRPr="00D73217">
        <w:rPr>
          <w:lang w:val="fr-BE" w:eastAsia="fr-FR"/>
        </w:rPr>
        <w:t>Les prix indiqués au marché sont fermes et non révisables pendant toute la durée d’exécution de la mission.</w:t>
      </w:r>
    </w:p>
    <w:p w14:paraId="504E3DA4" w14:textId="281738A2" w:rsidR="002B66BC" w:rsidRPr="00D73217" w:rsidRDefault="002B66BC" w:rsidP="00E67FC0">
      <w:pPr>
        <w:ind w:left="-1134"/>
        <w:jc w:val="both"/>
        <w:rPr>
          <w:lang w:val="fr-BE" w:eastAsia="fr-FR"/>
        </w:rPr>
      </w:pPr>
      <w:r w:rsidRPr="00D73217">
        <w:rPr>
          <w:lang w:val="fr-BE" w:eastAsia="fr-FR"/>
        </w:rPr>
        <w:t>Aucune révision ou actualisation ne sera appliquée, quelle que soit l’évolution des indices économiques, sociaux ou réglementaires au cours de cette période.</w:t>
      </w:r>
    </w:p>
    <w:p w14:paraId="0601B5F2" w14:textId="776F25E6" w:rsidR="004657BA" w:rsidRDefault="00A070F6" w:rsidP="00394727">
      <w:pPr>
        <w:pStyle w:val="Titre1"/>
      </w:pPr>
      <w:bookmarkStart w:id="34" w:name="_Toc161406945"/>
      <w:bookmarkStart w:id="35" w:name="_Toc208220923"/>
      <w:r>
        <w:t xml:space="preserve">MODE DE </w:t>
      </w:r>
      <w:r w:rsidRPr="00A070F6">
        <w:t>F</w:t>
      </w:r>
      <w:bookmarkEnd w:id="34"/>
      <w:r>
        <w:t>ACTURATION</w:t>
      </w:r>
      <w:bookmarkEnd w:id="35"/>
    </w:p>
    <w:p w14:paraId="197AE26D" w14:textId="4DF4D8F3" w:rsidR="00A070F6" w:rsidRDefault="00E35425" w:rsidP="009D7405">
      <w:pPr>
        <w:pStyle w:val="Titre2"/>
      </w:pPr>
      <w:bookmarkStart w:id="36" w:name="_Toc208220924"/>
      <w:r>
        <w:t>Termes de paiement</w:t>
      </w:r>
      <w:bookmarkEnd w:id="36"/>
      <w:r>
        <w:t xml:space="preserve"> </w:t>
      </w:r>
    </w:p>
    <w:p w14:paraId="79B22A58" w14:textId="77777777" w:rsidR="003E73E4" w:rsidRPr="003E73E4" w:rsidRDefault="003E73E4" w:rsidP="003E73E4">
      <w:pPr>
        <w:spacing w:before="100" w:beforeAutospacing="1" w:after="100" w:afterAutospacing="1" w:line="240" w:lineRule="auto"/>
        <w:ind w:left="-1134"/>
        <w:jc w:val="both"/>
        <w:rPr>
          <w:lang w:val="fr-BE"/>
        </w:rPr>
      </w:pPr>
      <w:r w:rsidRPr="003E73E4">
        <w:rPr>
          <w:lang w:val="fr-BE"/>
        </w:rPr>
        <w:t>Les conditions de facturation et de paiement sont définies comme suit :</w:t>
      </w:r>
    </w:p>
    <w:p w14:paraId="4DC94B8E" w14:textId="70324F89" w:rsidR="003E73E4" w:rsidRPr="003E73E4" w:rsidRDefault="003E73E4" w:rsidP="003E73E4">
      <w:pPr>
        <w:numPr>
          <w:ilvl w:val="0"/>
          <w:numId w:val="38"/>
        </w:numPr>
        <w:spacing w:after="100" w:afterAutospacing="1" w:line="240" w:lineRule="auto"/>
        <w:jc w:val="both"/>
        <w:rPr>
          <w:lang w:val="fr-BE"/>
        </w:rPr>
      </w:pPr>
      <w:r w:rsidRPr="003E73E4">
        <w:rPr>
          <w:lang w:val="fr-BE"/>
        </w:rPr>
        <w:lastRenderedPageBreak/>
        <w:t xml:space="preserve">La rémunération du titulaire est établie sur la base </w:t>
      </w:r>
      <w:bookmarkStart w:id="37" w:name="_Hlk212110721"/>
      <w:r w:rsidRPr="003E73E4">
        <w:rPr>
          <w:lang w:val="fr-BE"/>
        </w:rPr>
        <w:t xml:space="preserve">des </w:t>
      </w:r>
      <w:r w:rsidRPr="003E73E4">
        <w:rPr>
          <w:b/>
          <w:bCs/>
          <w:lang w:val="fr-BE"/>
        </w:rPr>
        <w:t xml:space="preserve">prix forfaitaires </w:t>
      </w:r>
      <w:bookmarkEnd w:id="37"/>
      <w:r w:rsidRPr="003E73E4">
        <w:rPr>
          <w:b/>
          <w:bCs/>
          <w:lang w:val="fr-BE"/>
        </w:rPr>
        <w:t>par phase</w:t>
      </w:r>
      <w:r w:rsidRPr="003E73E4">
        <w:rPr>
          <w:lang w:val="fr-BE"/>
        </w:rPr>
        <w:t xml:space="preserve">, </w:t>
      </w:r>
      <w:bookmarkStart w:id="38" w:name="_Hlk212110752"/>
      <w:r w:rsidRPr="003E73E4">
        <w:rPr>
          <w:lang w:val="fr-BE"/>
        </w:rPr>
        <w:t>tels que définis dans la Décomposition du Prix Global et Forfaitaire (DPGF).</w:t>
      </w:r>
      <w:bookmarkEnd w:id="38"/>
    </w:p>
    <w:p w14:paraId="332EC2C2" w14:textId="4A50E57B" w:rsidR="00E62BE3" w:rsidRDefault="003E73E4" w:rsidP="003E73E4">
      <w:pPr>
        <w:numPr>
          <w:ilvl w:val="0"/>
          <w:numId w:val="38"/>
        </w:numPr>
        <w:spacing w:before="100" w:beforeAutospacing="1" w:after="100" w:afterAutospacing="1" w:line="240" w:lineRule="auto"/>
        <w:jc w:val="both"/>
        <w:rPr>
          <w:lang w:val="fr-BE"/>
        </w:rPr>
      </w:pPr>
      <w:r w:rsidRPr="003E73E4">
        <w:rPr>
          <w:lang w:val="fr-BE"/>
        </w:rPr>
        <w:t xml:space="preserve">La facturation est effectuée </w:t>
      </w:r>
      <w:r w:rsidRPr="003E73E4">
        <w:rPr>
          <w:b/>
          <w:bCs/>
          <w:lang w:val="fr-BE"/>
        </w:rPr>
        <w:t>à l’issue de chaque phase</w:t>
      </w:r>
      <w:r w:rsidRPr="003E73E4">
        <w:rPr>
          <w:lang w:val="fr-BE"/>
        </w:rPr>
        <w:t xml:space="preserve">, </w:t>
      </w:r>
      <w:bookmarkStart w:id="39" w:name="_Hlk212110826"/>
      <w:r w:rsidRPr="003E73E4">
        <w:rPr>
          <w:lang w:val="fr-BE"/>
        </w:rPr>
        <w:t>après validation par le comité de pilotage et acceptation formelle par le maître d’ouvrage des livrables correspondants.</w:t>
      </w:r>
    </w:p>
    <w:bookmarkEnd w:id="39"/>
    <w:p w14:paraId="1C807B40" w14:textId="3C34D97E" w:rsidR="004002EF" w:rsidRPr="00F151FA" w:rsidRDefault="00F151FA" w:rsidP="00F151FA">
      <w:pPr>
        <w:numPr>
          <w:ilvl w:val="0"/>
          <w:numId w:val="38"/>
        </w:numPr>
        <w:spacing w:before="100" w:beforeAutospacing="1" w:after="100" w:afterAutospacing="1" w:line="240" w:lineRule="auto"/>
        <w:jc w:val="both"/>
        <w:rPr>
          <w:lang w:val="fr-BE"/>
        </w:rPr>
      </w:pPr>
      <w:r>
        <w:rPr>
          <w:lang w:val="fr-BE"/>
        </w:rPr>
        <w:t>Toutefois, l</w:t>
      </w:r>
      <w:r w:rsidR="004002EF">
        <w:rPr>
          <w:lang w:val="fr-BE"/>
        </w:rPr>
        <w:t xml:space="preserve">a facturation liée à la stratégie EEE devra être établie </w:t>
      </w:r>
      <w:r>
        <w:rPr>
          <w:lang w:val="fr-BE"/>
        </w:rPr>
        <w:t>distinctement</w:t>
      </w:r>
      <w:r w:rsidR="004002EF">
        <w:rPr>
          <w:lang w:val="fr-BE"/>
        </w:rPr>
        <w:t xml:space="preserve"> sur la base </w:t>
      </w:r>
      <w:r w:rsidR="004002EF" w:rsidRPr="003E73E4">
        <w:rPr>
          <w:lang w:val="fr-BE"/>
        </w:rPr>
        <w:t xml:space="preserve">des </w:t>
      </w:r>
      <w:r w:rsidR="004002EF" w:rsidRPr="003E73E4">
        <w:rPr>
          <w:b/>
          <w:bCs/>
          <w:lang w:val="fr-BE"/>
        </w:rPr>
        <w:t>prix forfaitaires</w:t>
      </w:r>
      <w:r>
        <w:rPr>
          <w:b/>
          <w:bCs/>
          <w:lang w:val="fr-BE"/>
        </w:rPr>
        <w:t xml:space="preserve"> </w:t>
      </w:r>
      <w:r w:rsidRPr="003E73E4">
        <w:rPr>
          <w:lang w:val="fr-BE"/>
        </w:rPr>
        <w:t>tels que définis dans la Décomposition du Prix Global et Forfaitaire (DPGF)</w:t>
      </w:r>
      <w:r>
        <w:rPr>
          <w:lang w:val="fr-BE"/>
        </w:rPr>
        <w:t xml:space="preserve"> </w:t>
      </w:r>
      <w:r w:rsidRPr="003E73E4">
        <w:rPr>
          <w:lang w:val="fr-BE"/>
        </w:rPr>
        <w:t>après validation par le comité de pilotage et acceptation formelle par le maître d’ouvrage des livrables correspondants.</w:t>
      </w:r>
    </w:p>
    <w:p w14:paraId="1A76ED53" w14:textId="5F5F7AA9" w:rsidR="0026464C" w:rsidRPr="0026464C" w:rsidRDefault="00A070F6" w:rsidP="0026464C">
      <w:pPr>
        <w:pStyle w:val="Titre2"/>
      </w:pPr>
      <w:bookmarkStart w:id="40" w:name="_Toc208220925"/>
      <w:r w:rsidRPr="0026464C">
        <w:t>Modalités de paiement</w:t>
      </w:r>
      <w:bookmarkEnd w:id="40"/>
      <w:r w:rsidRPr="0026464C">
        <w:t xml:space="preserve"> </w:t>
      </w:r>
    </w:p>
    <w:p w14:paraId="78BC6F26" w14:textId="77777777" w:rsidR="00A070F6" w:rsidRPr="00BD48F4" w:rsidRDefault="00A070F6" w:rsidP="0026464C">
      <w:pPr>
        <w:ind w:left="-1134"/>
      </w:pPr>
      <w:r w:rsidRPr="00BD48F4">
        <w:t xml:space="preserve">La facture ou son équivalent sera établi en un original et 2 copies portant, outre les mentions légales, les annotations suivantes : </w:t>
      </w:r>
    </w:p>
    <w:p w14:paraId="7000F20C" w14:textId="77777777" w:rsidR="00A070F6" w:rsidRPr="00BD48F4" w:rsidRDefault="00A070F6" w:rsidP="007546BF">
      <w:pPr>
        <w:pStyle w:val="Paragraphedeliste"/>
        <w:numPr>
          <w:ilvl w:val="0"/>
          <w:numId w:val="9"/>
        </w:numPr>
        <w:spacing w:after="108" w:line="248" w:lineRule="auto"/>
        <w:ind w:left="0" w:hanging="426"/>
      </w:pPr>
      <w:r w:rsidRPr="00BD48F4">
        <w:t xml:space="preserve">Nom et adresse du créancier, </w:t>
      </w:r>
    </w:p>
    <w:p w14:paraId="6F52B044" w14:textId="77777777" w:rsidR="00A070F6" w:rsidRPr="00BD48F4" w:rsidRDefault="00A070F6" w:rsidP="007546BF">
      <w:pPr>
        <w:pStyle w:val="Paragraphedeliste"/>
        <w:numPr>
          <w:ilvl w:val="0"/>
          <w:numId w:val="9"/>
        </w:numPr>
        <w:spacing w:after="108" w:line="248" w:lineRule="auto"/>
        <w:ind w:left="0" w:hanging="426"/>
      </w:pPr>
      <w:r w:rsidRPr="00BD48F4">
        <w:t xml:space="preserve">Numéro de compte bancaire ou postal, </w:t>
      </w:r>
    </w:p>
    <w:p w14:paraId="52410EEC" w14:textId="45504D85" w:rsidR="00A070F6" w:rsidRPr="00BD48F4" w:rsidRDefault="00E35425" w:rsidP="007546BF">
      <w:pPr>
        <w:pStyle w:val="Paragraphedeliste"/>
        <w:numPr>
          <w:ilvl w:val="0"/>
          <w:numId w:val="9"/>
        </w:numPr>
        <w:spacing w:after="108" w:line="248" w:lineRule="auto"/>
        <w:ind w:left="0" w:hanging="426"/>
      </w:pPr>
      <w:r>
        <w:t>Date</w:t>
      </w:r>
      <w:r w:rsidR="00A070F6" w:rsidRPr="00BD48F4">
        <w:t xml:space="preserve"> de la </w:t>
      </w:r>
      <w:r>
        <w:t>prestation</w:t>
      </w:r>
      <w:r w:rsidR="00A070F6" w:rsidRPr="00BD48F4">
        <w:t xml:space="preserve">, </w:t>
      </w:r>
    </w:p>
    <w:p w14:paraId="24E65511" w14:textId="77777777" w:rsidR="00A070F6" w:rsidRPr="00BD48F4" w:rsidRDefault="00A070F6" w:rsidP="007546BF">
      <w:pPr>
        <w:pStyle w:val="Paragraphedeliste"/>
        <w:numPr>
          <w:ilvl w:val="0"/>
          <w:numId w:val="9"/>
        </w:numPr>
        <w:spacing w:after="108" w:line="248" w:lineRule="auto"/>
        <w:ind w:left="0" w:hanging="426"/>
      </w:pPr>
      <w:r w:rsidRPr="00BD48F4">
        <w:t>Le numéro de bon de commande associé,</w:t>
      </w:r>
    </w:p>
    <w:p w14:paraId="291B595C" w14:textId="43C7EBA6" w:rsidR="00A070F6" w:rsidRPr="00BD48F4" w:rsidRDefault="00A070F6" w:rsidP="007546BF">
      <w:pPr>
        <w:pStyle w:val="Paragraphedeliste"/>
        <w:numPr>
          <w:ilvl w:val="0"/>
          <w:numId w:val="9"/>
        </w:numPr>
        <w:spacing w:after="108" w:line="248" w:lineRule="auto"/>
        <w:ind w:left="0" w:hanging="426"/>
      </w:pPr>
      <w:r w:rsidRPr="00BD48F4">
        <w:t xml:space="preserve">Montant </w:t>
      </w:r>
      <w:r w:rsidR="00E35425" w:rsidRPr="00BD48F4">
        <w:t>HT</w:t>
      </w:r>
      <w:r w:rsidRPr="00BD48F4">
        <w:t xml:space="preserve"> de la prestation réalisée</w:t>
      </w:r>
      <w:r w:rsidR="007546BF">
        <w:t>.</w:t>
      </w:r>
    </w:p>
    <w:p w14:paraId="4443E99C" w14:textId="77777777" w:rsidR="00A070F6" w:rsidRPr="00BD48F4" w:rsidRDefault="00A070F6" w:rsidP="00E35425">
      <w:pPr>
        <w:ind w:left="-1134"/>
        <w:jc w:val="both"/>
      </w:pPr>
      <w:r w:rsidRPr="00BD48F4">
        <w:t>Elle est accompagnée de l’attestation des services faits, signée par le pouvoir adjudicateur dans les conditions mentionnées plus haut. Elle est éventuellement également accompagnée des avoirs mentionnés au CCTP. En l’absence de ces documents, la facture est systématiquement retournée au titulaire, sans que celui-ci ne puisse se prévaloir de toute indemnité de retard liée au paiement retardé. La date de la nouvelle facture est modifiée.</w:t>
      </w:r>
    </w:p>
    <w:p w14:paraId="6AD21B0B" w14:textId="1603F6C0" w:rsidR="00A070F6" w:rsidRPr="004A78D6" w:rsidRDefault="00A070F6" w:rsidP="00E35425">
      <w:pPr>
        <w:ind w:left="-1134"/>
        <w:jc w:val="both"/>
      </w:pPr>
      <w:r w:rsidRPr="00BD48F4">
        <w:t>L’ensemble de ces documents (factures, attestation de service fait, avoir</w:t>
      </w:r>
      <w:r w:rsidRPr="004A78D6">
        <w:t>)</w:t>
      </w:r>
      <w:r w:rsidR="00CA5090" w:rsidRPr="004A78D6">
        <w:t xml:space="preserve"> devra être déposé</w:t>
      </w:r>
      <w:r w:rsidR="004A78D6" w:rsidRPr="004A78D6">
        <w:t xml:space="preserve"> </w:t>
      </w:r>
      <w:r w:rsidR="00CA5090" w:rsidRPr="004A78D6">
        <w:t>sur la plate-forme CHORUS PORTAIL PRO. L’utilisation de de portail est obligatoire pour toutes les factures adressées à une personne publique depuis le 1</w:t>
      </w:r>
      <w:r w:rsidR="00CA5090" w:rsidRPr="004A78D6">
        <w:rPr>
          <w:vertAlign w:val="superscript"/>
        </w:rPr>
        <w:t>er</w:t>
      </w:r>
      <w:r w:rsidR="00CA5090" w:rsidRPr="004A78D6">
        <w:t xml:space="preserve"> janvier 2017</w:t>
      </w:r>
      <w:r w:rsidR="004A78D6" w:rsidRPr="004A78D6">
        <w:t>.</w:t>
      </w:r>
    </w:p>
    <w:p w14:paraId="196473DA" w14:textId="4D69041A" w:rsidR="00A070F6" w:rsidRPr="00BD48F4" w:rsidRDefault="00A070F6" w:rsidP="00E35425">
      <w:pPr>
        <w:ind w:left="-1134"/>
        <w:jc w:val="both"/>
      </w:pPr>
      <w:r w:rsidRPr="00BD48F4">
        <w:t>Les factures doivent parvenir dans les 15 jours qui suivent le mois d’exécution de la prestation</w:t>
      </w:r>
      <w:r w:rsidR="00E35425">
        <w:t>.</w:t>
      </w:r>
    </w:p>
    <w:p w14:paraId="1453664A" w14:textId="6DCAF78B" w:rsidR="00C43A21" w:rsidRDefault="00C43A21" w:rsidP="00394727">
      <w:pPr>
        <w:pStyle w:val="Titre1"/>
        <w:rPr>
          <w:lang w:eastAsia="fr-FR"/>
        </w:rPr>
      </w:pPr>
      <w:bookmarkStart w:id="41" w:name="_Toc208220926"/>
      <w:bookmarkEnd w:id="1"/>
      <w:r>
        <w:rPr>
          <w:lang w:eastAsia="fr-FR"/>
        </w:rPr>
        <w:t>PENALITES</w:t>
      </w:r>
      <w:bookmarkEnd w:id="41"/>
      <w:r>
        <w:rPr>
          <w:lang w:eastAsia="fr-FR"/>
        </w:rPr>
        <w:t xml:space="preserve"> </w:t>
      </w:r>
    </w:p>
    <w:p w14:paraId="771CC532" w14:textId="4E771A12" w:rsidR="005929C1" w:rsidRDefault="005929C1" w:rsidP="005929C1">
      <w:pPr>
        <w:spacing w:line="276" w:lineRule="auto"/>
        <w:ind w:left="-1134"/>
        <w:jc w:val="both"/>
      </w:pPr>
      <w:r w:rsidRPr="005929C1">
        <w:t>Par dérogation aux stipulations de l’article correspondant du CCAG-PI, des pénalités seront appliquées, sans mise en demeure préalable sauf disposition contraire, en cas de retard dans l’exécution des prestations ou de non-conformité. Les modalités de calcul et le montant des pénalités sont précisés ci-après</w:t>
      </w:r>
      <w:r>
        <w:t> :</w:t>
      </w:r>
    </w:p>
    <w:p w14:paraId="16E0C99D" w14:textId="77777777" w:rsidR="00B93FA3" w:rsidRDefault="00B93FA3" w:rsidP="005929C1">
      <w:pPr>
        <w:spacing w:line="276" w:lineRule="auto"/>
        <w:ind w:left="-1134"/>
        <w:jc w:val="both"/>
      </w:pPr>
    </w:p>
    <w:tbl>
      <w:tblPr>
        <w:tblW w:w="8931" w:type="dxa"/>
        <w:tblCellSpacing w:w="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69"/>
        <w:gridCol w:w="3119"/>
        <w:gridCol w:w="3543"/>
      </w:tblGrid>
      <w:tr w:rsidR="00B93FA3" w:rsidRPr="00B93FA3" w14:paraId="1CE8D433" w14:textId="77777777" w:rsidTr="00B93FA3">
        <w:trPr>
          <w:tblHeader/>
          <w:tblCellSpacing w:w="15" w:type="dxa"/>
        </w:trPr>
        <w:tc>
          <w:tcPr>
            <w:tcW w:w="2224" w:type="dxa"/>
            <w:vAlign w:val="center"/>
            <w:hideMark/>
          </w:tcPr>
          <w:p w14:paraId="414B3420" w14:textId="77777777" w:rsidR="00B93FA3" w:rsidRPr="00B93FA3" w:rsidRDefault="00B93FA3" w:rsidP="00B93FA3">
            <w:pPr>
              <w:spacing w:line="276" w:lineRule="auto"/>
              <w:ind w:left="89"/>
              <w:rPr>
                <w:b/>
                <w:bCs/>
                <w:lang w:val="fr-BE"/>
              </w:rPr>
            </w:pPr>
            <w:r w:rsidRPr="00B93FA3">
              <w:rPr>
                <w:b/>
                <w:bCs/>
                <w:lang w:val="fr-BE"/>
              </w:rPr>
              <w:t>Objet de la pénalité</w:t>
            </w:r>
          </w:p>
        </w:tc>
        <w:tc>
          <w:tcPr>
            <w:tcW w:w="3089" w:type="dxa"/>
            <w:vAlign w:val="center"/>
            <w:hideMark/>
          </w:tcPr>
          <w:p w14:paraId="7D1B7515" w14:textId="77777777" w:rsidR="00B93FA3" w:rsidRPr="00B93FA3" w:rsidRDefault="00B93FA3" w:rsidP="00B93FA3">
            <w:pPr>
              <w:spacing w:line="276" w:lineRule="auto"/>
              <w:rPr>
                <w:b/>
                <w:bCs/>
                <w:lang w:val="fr-BE"/>
              </w:rPr>
            </w:pPr>
            <w:r w:rsidRPr="00B93FA3">
              <w:rPr>
                <w:b/>
                <w:bCs/>
                <w:lang w:val="fr-BE"/>
              </w:rPr>
              <w:t>Description</w:t>
            </w:r>
          </w:p>
        </w:tc>
        <w:tc>
          <w:tcPr>
            <w:tcW w:w="3498" w:type="dxa"/>
            <w:vAlign w:val="center"/>
            <w:hideMark/>
          </w:tcPr>
          <w:p w14:paraId="21678F15" w14:textId="77777777" w:rsidR="00B93FA3" w:rsidRPr="00B93FA3" w:rsidRDefault="00B93FA3" w:rsidP="00B93FA3">
            <w:pPr>
              <w:spacing w:line="276" w:lineRule="auto"/>
              <w:ind w:left="96"/>
              <w:rPr>
                <w:b/>
                <w:bCs/>
                <w:lang w:val="fr-BE"/>
              </w:rPr>
            </w:pPr>
            <w:r w:rsidRPr="00B93FA3">
              <w:rPr>
                <w:b/>
                <w:bCs/>
                <w:lang w:val="fr-BE"/>
              </w:rPr>
              <w:t>Montant ou mode de calcul</w:t>
            </w:r>
          </w:p>
        </w:tc>
      </w:tr>
      <w:tr w:rsidR="00B93FA3" w:rsidRPr="00B93FA3" w14:paraId="3742F7E6" w14:textId="77777777" w:rsidTr="00B93FA3">
        <w:trPr>
          <w:tblCellSpacing w:w="15" w:type="dxa"/>
        </w:trPr>
        <w:tc>
          <w:tcPr>
            <w:tcW w:w="2224" w:type="dxa"/>
            <w:vAlign w:val="center"/>
            <w:hideMark/>
          </w:tcPr>
          <w:p w14:paraId="3C266944" w14:textId="77777777" w:rsidR="00B93FA3" w:rsidRPr="00B93FA3" w:rsidRDefault="00B93FA3" w:rsidP="00B93FA3">
            <w:pPr>
              <w:spacing w:line="276" w:lineRule="auto"/>
              <w:ind w:left="89"/>
              <w:rPr>
                <w:lang w:val="fr-BE"/>
              </w:rPr>
            </w:pPr>
            <w:r w:rsidRPr="00B93FA3">
              <w:rPr>
                <w:lang w:val="fr-BE"/>
              </w:rPr>
              <w:t>Retard de remise d’un livrable de phase</w:t>
            </w:r>
          </w:p>
        </w:tc>
        <w:tc>
          <w:tcPr>
            <w:tcW w:w="3089" w:type="dxa"/>
            <w:vAlign w:val="center"/>
            <w:hideMark/>
          </w:tcPr>
          <w:p w14:paraId="28A12607" w14:textId="77777777" w:rsidR="00B93FA3" w:rsidRPr="00B93FA3" w:rsidRDefault="00B93FA3" w:rsidP="00B93FA3">
            <w:pPr>
              <w:spacing w:line="276" w:lineRule="auto"/>
              <w:rPr>
                <w:lang w:val="fr-BE"/>
              </w:rPr>
            </w:pPr>
            <w:r w:rsidRPr="00B93FA3">
              <w:rPr>
                <w:lang w:val="fr-BE"/>
              </w:rPr>
              <w:t>Retard constaté dans la remise du rapport ou livrable prévu (diagnostic, enjeux, croisement, mesures, SDPN final) par rapport au calendrier contractuel validé.</w:t>
            </w:r>
          </w:p>
        </w:tc>
        <w:tc>
          <w:tcPr>
            <w:tcW w:w="3498" w:type="dxa"/>
            <w:vAlign w:val="center"/>
            <w:hideMark/>
          </w:tcPr>
          <w:p w14:paraId="7C4CFFE9" w14:textId="77777777" w:rsidR="00B93FA3" w:rsidRDefault="00B93FA3" w:rsidP="00B93FA3">
            <w:pPr>
              <w:spacing w:after="0" w:line="276" w:lineRule="auto"/>
              <w:ind w:left="96"/>
              <w:rPr>
                <w:lang w:val="fr-BE"/>
              </w:rPr>
            </w:pPr>
            <w:r w:rsidRPr="00B93FA3">
              <w:rPr>
                <w:lang w:val="fr-BE"/>
              </w:rPr>
              <w:t xml:space="preserve">Phase 1 : 200 € / jour de retard  </w:t>
            </w:r>
          </w:p>
          <w:p w14:paraId="515ECDEF" w14:textId="77777777" w:rsidR="00B93FA3" w:rsidRDefault="00B93FA3" w:rsidP="00B93FA3">
            <w:pPr>
              <w:spacing w:after="0" w:line="276" w:lineRule="auto"/>
              <w:ind w:left="96"/>
              <w:rPr>
                <w:lang w:val="fr-BE"/>
              </w:rPr>
            </w:pPr>
            <w:r w:rsidRPr="00B93FA3">
              <w:rPr>
                <w:lang w:val="fr-BE"/>
              </w:rPr>
              <w:t xml:space="preserve">Phase 2 : 200 € / jour de retard </w:t>
            </w:r>
          </w:p>
          <w:p w14:paraId="46E56E8C" w14:textId="77777777" w:rsidR="00B93FA3" w:rsidRDefault="00B93FA3" w:rsidP="00B93FA3">
            <w:pPr>
              <w:spacing w:after="0" w:line="276" w:lineRule="auto"/>
              <w:ind w:left="96"/>
              <w:rPr>
                <w:lang w:val="fr-BE"/>
              </w:rPr>
            </w:pPr>
            <w:r w:rsidRPr="00B93FA3">
              <w:rPr>
                <w:lang w:val="fr-BE"/>
              </w:rPr>
              <w:t xml:space="preserve">Phase 3 : 300 € / jour de retard </w:t>
            </w:r>
          </w:p>
          <w:p w14:paraId="2234F40C" w14:textId="77777777" w:rsidR="00B93FA3" w:rsidRDefault="00B93FA3" w:rsidP="00B93FA3">
            <w:pPr>
              <w:spacing w:after="0" w:line="276" w:lineRule="auto"/>
              <w:ind w:left="96"/>
              <w:rPr>
                <w:lang w:val="fr-BE"/>
              </w:rPr>
            </w:pPr>
            <w:r w:rsidRPr="00B93FA3">
              <w:rPr>
                <w:lang w:val="fr-BE"/>
              </w:rPr>
              <w:t xml:space="preserve">Phase 4 : 300 € / jour de retard </w:t>
            </w:r>
          </w:p>
          <w:p w14:paraId="493CA998" w14:textId="0815CC12" w:rsidR="00B93FA3" w:rsidRPr="00B93FA3" w:rsidRDefault="00B93FA3" w:rsidP="00B93FA3">
            <w:pPr>
              <w:spacing w:after="0" w:line="276" w:lineRule="auto"/>
              <w:rPr>
                <w:lang w:val="fr-BE"/>
              </w:rPr>
            </w:pPr>
            <w:r>
              <w:rPr>
                <w:lang w:val="fr-BE"/>
              </w:rPr>
              <w:t xml:space="preserve">  </w:t>
            </w:r>
            <w:r w:rsidRPr="00B93FA3">
              <w:rPr>
                <w:lang w:val="fr-BE"/>
              </w:rPr>
              <w:t>Phase 5 (SDPN final) : 500 € / jour de retard</w:t>
            </w:r>
          </w:p>
        </w:tc>
      </w:tr>
      <w:tr w:rsidR="00B93FA3" w:rsidRPr="00B93FA3" w14:paraId="388E2F93" w14:textId="77777777" w:rsidTr="00B93FA3">
        <w:trPr>
          <w:tblCellSpacing w:w="15" w:type="dxa"/>
        </w:trPr>
        <w:tc>
          <w:tcPr>
            <w:tcW w:w="2224" w:type="dxa"/>
            <w:vAlign w:val="center"/>
            <w:hideMark/>
          </w:tcPr>
          <w:p w14:paraId="1B223452" w14:textId="77777777" w:rsidR="00B93FA3" w:rsidRPr="00B93FA3" w:rsidRDefault="00B93FA3" w:rsidP="00B93FA3">
            <w:pPr>
              <w:spacing w:line="276" w:lineRule="auto"/>
              <w:ind w:left="89"/>
              <w:rPr>
                <w:lang w:val="fr-BE"/>
              </w:rPr>
            </w:pPr>
            <w:r w:rsidRPr="00B93FA3">
              <w:rPr>
                <w:lang w:val="fr-BE"/>
              </w:rPr>
              <w:t>Livrable non conforme</w:t>
            </w:r>
          </w:p>
        </w:tc>
        <w:tc>
          <w:tcPr>
            <w:tcW w:w="3089" w:type="dxa"/>
            <w:vAlign w:val="center"/>
            <w:hideMark/>
          </w:tcPr>
          <w:p w14:paraId="0A3DDB93" w14:textId="77777777" w:rsidR="00B93FA3" w:rsidRPr="00B93FA3" w:rsidRDefault="00B93FA3" w:rsidP="00B93FA3">
            <w:pPr>
              <w:spacing w:line="276" w:lineRule="auto"/>
              <w:rPr>
                <w:lang w:val="fr-BE"/>
              </w:rPr>
            </w:pPr>
            <w:r w:rsidRPr="00B93FA3">
              <w:rPr>
                <w:lang w:val="fr-BE"/>
              </w:rPr>
              <w:t>Rapport, cartographie, SIG ou synthèse remis incomplets ou non conformes aux formats exigés, nécessitant une reprise.</w:t>
            </w:r>
          </w:p>
        </w:tc>
        <w:tc>
          <w:tcPr>
            <w:tcW w:w="3498" w:type="dxa"/>
            <w:vAlign w:val="center"/>
            <w:hideMark/>
          </w:tcPr>
          <w:p w14:paraId="021D4935" w14:textId="77777777" w:rsidR="00B93FA3" w:rsidRPr="00B93FA3" w:rsidRDefault="00B93FA3" w:rsidP="00B93FA3">
            <w:pPr>
              <w:spacing w:line="276" w:lineRule="auto"/>
              <w:ind w:left="96"/>
              <w:rPr>
                <w:lang w:val="fr-BE"/>
              </w:rPr>
            </w:pPr>
            <w:r w:rsidRPr="00B93FA3">
              <w:rPr>
                <w:lang w:val="fr-BE"/>
              </w:rPr>
              <w:t>5 % du montant forfaitaire de la phase concernée</w:t>
            </w:r>
          </w:p>
        </w:tc>
      </w:tr>
      <w:tr w:rsidR="00B93FA3" w:rsidRPr="00B93FA3" w14:paraId="7B647C13" w14:textId="77777777" w:rsidTr="00B93FA3">
        <w:trPr>
          <w:tblCellSpacing w:w="15" w:type="dxa"/>
        </w:trPr>
        <w:tc>
          <w:tcPr>
            <w:tcW w:w="2224" w:type="dxa"/>
            <w:vAlign w:val="center"/>
            <w:hideMark/>
          </w:tcPr>
          <w:p w14:paraId="153BBA2D" w14:textId="77777777" w:rsidR="00B93FA3" w:rsidRPr="00B93FA3" w:rsidRDefault="00B93FA3" w:rsidP="00B93FA3">
            <w:pPr>
              <w:spacing w:line="276" w:lineRule="auto"/>
              <w:ind w:left="89"/>
              <w:rPr>
                <w:lang w:val="fr-BE"/>
              </w:rPr>
            </w:pPr>
            <w:r w:rsidRPr="00B93FA3">
              <w:rPr>
                <w:lang w:val="fr-BE"/>
              </w:rPr>
              <w:t>Non-tenue d’une réunion obligatoire</w:t>
            </w:r>
          </w:p>
        </w:tc>
        <w:tc>
          <w:tcPr>
            <w:tcW w:w="3089" w:type="dxa"/>
            <w:vAlign w:val="center"/>
            <w:hideMark/>
          </w:tcPr>
          <w:p w14:paraId="2F620C5E" w14:textId="77777777" w:rsidR="00B93FA3" w:rsidRPr="00B93FA3" w:rsidRDefault="00B93FA3" w:rsidP="00B93FA3">
            <w:pPr>
              <w:spacing w:line="276" w:lineRule="auto"/>
              <w:rPr>
                <w:lang w:val="fr-BE"/>
              </w:rPr>
            </w:pPr>
            <w:r w:rsidRPr="00B93FA3">
              <w:rPr>
                <w:lang w:val="fr-BE"/>
              </w:rPr>
              <w:t xml:space="preserve">Absence d’organisation d’une réunion prévue au CCTP (COPIL, présentation au conseil de </w:t>
            </w:r>
            <w:r w:rsidRPr="00B93FA3">
              <w:rPr>
                <w:lang w:val="fr-BE"/>
              </w:rPr>
              <w:lastRenderedPageBreak/>
              <w:t>développement ou de surveillance).</w:t>
            </w:r>
          </w:p>
        </w:tc>
        <w:tc>
          <w:tcPr>
            <w:tcW w:w="3498" w:type="dxa"/>
            <w:vAlign w:val="center"/>
            <w:hideMark/>
          </w:tcPr>
          <w:p w14:paraId="5F813894" w14:textId="3826CD4E" w:rsidR="00B93FA3" w:rsidRPr="00B93FA3" w:rsidRDefault="00B93FA3" w:rsidP="00B93FA3">
            <w:pPr>
              <w:spacing w:line="276" w:lineRule="auto"/>
              <w:ind w:left="96"/>
              <w:rPr>
                <w:lang w:val="fr-BE"/>
              </w:rPr>
            </w:pPr>
            <w:r>
              <w:rPr>
                <w:lang w:val="fr-BE"/>
              </w:rPr>
              <w:lastRenderedPageBreak/>
              <w:t>2</w:t>
            </w:r>
            <w:r w:rsidRPr="00B93FA3">
              <w:rPr>
                <w:lang w:val="fr-BE"/>
              </w:rPr>
              <w:t>00 € par réunion manquante</w:t>
            </w:r>
          </w:p>
        </w:tc>
      </w:tr>
      <w:tr w:rsidR="00B93FA3" w:rsidRPr="00B93FA3" w14:paraId="31888C57" w14:textId="77777777" w:rsidTr="00B93FA3">
        <w:trPr>
          <w:tblCellSpacing w:w="15" w:type="dxa"/>
        </w:trPr>
        <w:tc>
          <w:tcPr>
            <w:tcW w:w="2224" w:type="dxa"/>
            <w:vAlign w:val="center"/>
            <w:hideMark/>
          </w:tcPr>
          <w:p w14:paraId="0F3E0EB7" w14:textId="77777777" w:rsidR="00B93FA3" w:rsidRPr="00B93FA3" w:rsidRDefault="00B93FA3" w:rsidP="00B93FA3">
            <w:pPr>
              <w:spacing w:line="276" w:lineRule="auto"/>
              <w:ind w:left="89"/>
              <w:rPr>
                <w:lang w:val="fr-BE"/>
              </w:rPr>
            </w:pPr>
            <w:r w:rsidRPr="00B93FA3">
              <w:rPr>
                <w:lang w:val="fr-BE"/>
              </w:rPr>
              <w:t>Non-transmission des fichiers sources</w:t>
            </w:r>
          </w:p>
        </w:tc>
        <w:tc>
          <w:tcPr>
            <w:tcW w:w="3089" w:type="dxa"/>
            <w:vAlign w:val="center"/>
            <w:hideMark/>
          </w:tcPr>
          <w:p w14:paraId="5AC74863" w14:textId="77777777" w:rsidR="00B93FA3" w:rsidRPr="00B93FA3" w:rsidRDefault="00B93FA3" w:rsidP="00B93FA3">
            <w:pPr>
              <w:spacing w:line="276" w:lineRule="auto"/>
              <w:rPr>
                <w:lang w:val="fr-BE"/>
              </w:rPr>
            </w:pPr>
            <w:r w:rsidRPr="00B93FA3">
              <w:rPr>
                <w:lang w:val="fr-BE"/>
              </w:rPr>
              <w:t>Défaut de remise des versions modifiables des livrables (Word, Excel, SIG .</w:t>
            </w:r>
            <w:proofErr w:type="spellStart"/>
            <w:r w:rsidRPr="00B93FA3">
              <w:rPr>
                <w:lang w:val="fr-BE"/>
              </w:rPr>
              <w:t>shp</w:t>
            </w:r>
            <w:proofErr w:type="spellEnd"/>
            <w:r w:rsidRPr="00B93FA3">
              <w:rPr>
                <w:lang w:val="fr-BE"/>
              </w:rPr>
              <w:t>, AutoCAD .</w:t>
            </w:r>
            <w:proofErr w:type="spellStart"/>
            <w:r w:rsidRPr="00B93FA3">
              <w:rPr>
                <w:lang w:val="fr-BE"/>
              </w:rPr>
              <w:t>dwg</w:t>
            </w:r>
            <w:proofErr w:type="spellEnd"/>
            <w:r w:rsidRPr="00B93FA3">
              <w:rPr>
                <w:lang w:val="fr-BE"/>
              </w:rPr>
              <w:t>) en plus des PDF.</w:t>
            </w:r>
          </w:p>
        </w:tc>
        <w:tc>
          <w:tcPr>
            <w:tcW w:w="3498" w:type="dxa"/>
            <w:vAlign w:val="center"/>
            <w:hideMark/>
          </w:tcPr>
          <w:p w14:paraId="2A30E9DD" w14:textId="6A72572B" w:rsidR="00B93FA3" w:rsidRPr="00B93FA3" w:rsidRDefault="00B93FA3" w:rsidP="00B93FA3">
            <w:pPr>
              <w:spacing w:line="276" w:lineRule="auto"/>
              <w:ind w:left="96"/>
              <w:rPr>
                <w:lang w:val="fr-BE"/>
              </w:rPr>
            </w:pPr>
            <w:r>
              <w:rPr>
                <w:lang w:val="fr-BE"/>
              </w:rPr>
              <w:t>300</w:t>
            </w:r>
            <w:r w:rsidRPr="00B93FA3">
              <w:rPr>
                <w:lang w:val="fr-BE"/>
              </w:rPr>
              <w:t xml:space="preserve"> € forfaitaires</w:t>
            </w:r>
          </w:p>
        </w:tc>
      </w:tr>
      <w:tr w:rsidR="00B93FA3" w:rsidRPr="00B93FA3" w14:paraId="1E7E6097" w14:textId="77777777" w:rsidTr="00B93FA3">
        <w:trPr>
          <w:tblCellSpacing w:w="15" w:type="dxa"/>
        </w:trPr>
        <w:tc>
          <w:tcPr>
            <w:tcW w:w="2224" w:type="dxa"/>
            <w:vAlign w:val="center"/>
            <w:hideMark/>
          </w:tcPr>
          <w:p w14:paraId="735BE37D" w14:textId="77777777" w:rsidR="00B93FA3" w:rsidRPr="00B93FA3" w:rsidRDefault="00B93FA3" w:rsidP="00B93FA3">
            <w:pPr>
              <w:spacing w:line="276" w:lineRule="auto"/>
              <w:ind w:left="89"/>
              <w:rPr>
                <w:lang w:val="fr-BE"/>
              </w:rPr>
            </w:pPr>
            <w:r w:rsidRPr="00B93FA3">
              <w:rPr>
                <w:lang w:val="fr-BE"/>
              </w:rPr>
              <w:t>Non-respect des engagements environnementaux</w:t>
            </w:r>
          </w:p>
        </w:tc>
        <w:tc>
          <w:tcPr>
            <w:tcW w:w="3089" w:type="dxa"/>
            <w:vAlign w:val="center"/>
            <w:hideMark/>
          </w:tcPr>
          <w:p w14:paraId="27331FCF" w14:textId="77777777" w:rsidR="00B93FA3" w:rsidRPr="00B93FA3" w:rsidRDefault="00B93FA3" w:rsidP="00B93FA3">
            <w:pPr>
              <w:spacing w:line="276" w:lineRule="auto"/>
              <w:rPr>
                <w:lang w:val="fr-BE"/>
              </w:rPr>
            </w:pPr>
            <w:r w:rsidRPr="00B93FA3">
              <w:rPr>
                <w:lang w:val="fr-BE"/>
              </w:rPr>
              <w:t>Manquement constaté par rapport aux engagements pris dans l’offre (ex. nombre de trajets, recours aux visioconférences).</w:t>
            </w:r>
          </w:p>
        </w:tc>
        <w:tc>
          <w:tcPr>
            <w:tcW w:w="3498" w:type="dxa"/>
            <w:vAlign w:val="center"/>
            <w:hideMark/>
          </w:tcPr>
          <w:p w14:paraId="6F58032A" w14:textId="42BA7004" w:rsidR="00B93FA3" w:rsidRPr="00B93FA3" w:rsidRDefault="00B93FA3" w:rsidP="00B93FA3">
            <w:pPr>
              <w:spacing w:line="276" w:lineRule="auto"/>
              <w:ind w:left="96"/>
              <w:rPr>
                <w:lang w:val="fr-BE"/>
              </w:rPr>
            </w:pPr>
            <w:r>
              <w:rPr>
                <w:lang w:val="fr-BE"/>
              </w:rPr>
              <w:t>3</w:t>
            </w:r>
            <w:r w:rsidRPr="00B93FA3">
              <w:rPr>
                <w:lang w:val="fr-BE"/>
              </w:rPr>
              <w:t>00 € par manquement</w:t>
            </w:r>
          </w:p>
        </w:tc>
      </w:tr>
    </w:tbl>
    <w:p w14:paraId="78E6E265" w14:textId="77777777" w:rsidR="00F92CF0" w:rsidRDefault="00F92CF0" w:rsidP="00397B13">
      <w:pPr>
        <w:jc w:val="both"/>
      </w:pPr>
    </w:p>
    <w:p w14:paraId="20391EAA" w14:textId="540E4C63" w:rsidR="00F92CF0" w:rsidRDefault="00F92CF0" w:rsidP="00397B13">
      <w:pPr>
        <w:jc w:val="both"/>
      </w:pPr>
      <w:r>
        <w:t>Les autres manquements non mentionnés dans ce tableau sont également sanctionnés qu’ils proviennent :</w:t>
      </w:r>
    </w:p>
    <w:p w14:paraId="514AB25A" w14:textId="6B6DBB5F" w:rsidR="00F92CF0" w:rsidRDefault="00F92CF0" w:rsidP="00F92CF0">
      <w:pPr>
        <w:pStyle w:val="Paragraphedeliste"/>
      </w:pPr>
      <w:r>
        <w:t>De manquements au CCTP</w:t>
      </w:r>
    </w:p>
    <w:p w14:paraId="6A8AE514" w14:textId="347E1F82" w:rsidR="00F92CF0" w:rsidRDefault="00F92CF0" w:rsidP="00F92CF0">
      <w:pPr>
        <w:pStyle w:val="Paragraphedeliste"/>
      </w:pPr>
      <w:r>
        <w:t>De manquement aux annexes à l’acte d’engagemen</w:t>
      </w:r>
      <w:r w:rsidR="00D73217">
        <w:t>t ou aux promesses du mémoire technique.</w:t>
      </w:r>
    </w:p>
    <w:p w14:paraId="39010B8F" w14:textId="3F23C51D" w:rsidR="00F92CF0" w:rsidRDefault="00F92CF0" w:rsidP="00F92CF0">
      <w:r>
        <w:t>A hauteur de :</w:t>
      </w:r>
    </w:p>
    <w:tbl>
      <w:tblPr>
        <w:tblStyle w:val="Grilledutableau"/>
        <w:tblW w:w="0" w:type="auto"/>
        <w:tblLook w:val="04A0" w:firstRow="1" w:lastRow="0" w:firstColumn="1" w:lastColumn="0" w:noHBand="0" w:noVBand="1"/>
      </w:tblPr>
      <w:tblGrid>
        <w:gridCol w:w="2642"/>
        <w:gridCol w:w="2642"/>
        <w:gridCol w:w="2643"/>
      </w:tblGrid>
      <w:tr w:rsidR="00F92CF0" w14:paraId="7F5C36E2" w14:textId="77777777" w:rsidTr="00F92CF0">
        <w:tc>
          <w:tcPr>
            <w:tcW w:w="2642" w:type="dxa"/>
          </w:tcPr>
          <w:p w14:paraId="5C83EF37" w14:textId="3BB87BB3" w:rsidR="00F92CF0" w:rsidRDefault="00F92CF0" w:rsidP="00F92CF0">
            <w:r>
              <w:t>Type de manquement</w:t>
            </w:r>
          </w:p>
        </w:tc>
        <w:tc>
          <w:tcPr>
            <w:tcW w:w="2642" w:type="dxa"/>
          </w:tcPr>
          <w:p w14:paraId="4C7CF502" w14:textId="64C4827D" w:rsidR="00F92CF0" w:rsidRDefault="00F92CF0" w:rsidP="00F92CF0">
            <w:r>
              <w:t xml:space="preserve">Avec impact sur le niveau de service </w:t>
            </w:r>
            <w:r w:rsidR="004A78D6">
              <w:t>perçu</w:t>
            </w:r>
            <w:r>
              <w:t xml:space="preserve"> par le GPM-Guyane</w:t>
            </w:r>
          </w:p>
        </w:tc>
        <w:tc>
          <w:tcPr>
            <w:tcW w:w="2643" w:type="dxa"/>
          </w:tcPr>
          <w:p w14:paraId="70D03A5F" w14:textId="59BA5056" w:rsidR="00F92CF0" w:rsidRDefault="00F92CF0" w:rsidP="00F92CF0">
            <w:r>
              <w:t xml:space="preserve">Sans impact sur le niveau de service </w:t>
            </w:r>
            <w:r w:rsidR="004A78D6">
              <w:t>perçu</w:t>
            </w:r>
            <w:r>
              <w:t xml:space="preserve"> par le GPM-Guyane</w:t>
            </w:r>
          </w:p>
        </w:tc>
      </w:tr>
      <w:tr w:rsidR="00F92CF0" w14:paraId="4E8365DA" w14:textId="77777777" w:rsidTr="00F92CF0">
        <w:tc>
          <w:tcPr>
            <w:tcW w:w="2642" w:type="dxa"/>
          </w:tcPr>
          <w:p w14:paraId="0FB27D5B" w14:textId="01CB35B2" w:rsidR="00F92CF0" w:rsidRDefault="00F92CF0" w:rsidP="00F92CF0">
            <w:r>
              <w:t>Continu</w:t>
            </w:r>
          </w:p>
        </w:tc>
        <w:tc>
          <w:tcPr>
            <w:tcW w:w="2642" w:type="dxa"/>
          </w:tcPr>
          <w:p w14:paraId="4D7FCC46" w14:textId="2C587F4D" w:rsidR="00F92CF0" w:rsidRDefault="00F92CF0" w:rsidP="00F92CF0">
            <w:r>
              <w:t>400 Euros par mois</w:t>
            </w:r>
          </w:p>
        </w:tc>
        <w:tc>
          <w:tcPr>
            <w:tcW w:w="2643" w:type="dxa"/>
          </w:tcPr>
          <w:p w14:paraId="3ACC6675" w14:textId="2670EAE5" w:rsidR="00F92CF0" w:rsidRDefault="00F92CF0" w:rsidP="00F92CF0">
            <w:r>
              <w:t>100 euros par mois</w:t>
            </w:r>
          </w:p>
        </w:tc>
      </w:tr>
      <w:tr w:rsidR="00F92CF0" w14:paraId="72E0A6E1" w14:textId="77777777" w:rsidTr="00F92CF0">
        <w:tc>
          <w:tcPr>
            <w:tcW w:w="2642" w:type="dxa"/>
          </w:tcPr>
          <w:p w14:paraId="21E743C0" w14:textId="1CA96A70" w:rsidR="00F92CF0" w:rsidRDefault="00F92CF0" w:rsidP="00F92CF0">
            <w:r>
              <w:t>Ponctuel</w:t>
            </w:r>
          </w:p>
        </w:tc>
        <w:tc>
          <w:tcPr>
            <w:tcW w:w="2642" w:type="dxa"/>
          </w:tcPr>
          <w:p w14:paraId="401ED146" w14:textId="1849BEB1" w:rsidR="00F92CF0" w:rsidRDefault="00F92CF0" w:rsidP="00F92CF0">
            <w:r>
              <w:t>100 euros par occurrence</w:t>
            </w:r>
          </w:p>
        </w:tc>
        <w:tc>
          <w:tcPr>
            <w:tcW w:w="2643" w:type="dxa"/>
          </w:tcPr>
          <w:p w14:paraId="794F50EE" w14:textId="6E47A7CD" w:rsidR="00F92CF0" w:rsidRDefault="00F92CF0" w:rsidP="00F92CF0">
            <w:r>
              <w:t>50 euros par occurrence</w:t>
            </w:r>
          </w:p>
        </w:tc>
      </w:tr>
    </w:tbl>
    <w:p w14:paraId="760D775E" w14:textId="77777777" w:rsidR="00F92CF0" w:rsidRDefault="00F92CF0" w:rsidP="00F92CF0"/>
    <w:p w14:paraId="1BEC93DF" w14:textId="5B5F5CCA" w:rsidR="00E14BE0" w:rsidRDefault="00F92CF0" w:rsidP="00394727">
      <w:pPr>
        <w:pStyle w:val="Titre1"/>
        <w:rPr>
          <w:lang w:val="fr-BE"/>
        </w:rPr>
      </w:pPr>
      <w:bookmarkStart w:id="42" w:name="_Toc208220927"/>
      <w:r w:rsidRPr="007D52FC">
        <w:rPr>
          <w:lang w:val="fr-BE"/>
        </w:rPr>
        <w:t>NON-SUBSTITUTION DU PERSONNEL</w:t>
      </w:r>
      <w:bookmarkEnd w:id="42"/>
    </w:p>
    <w:p w14:paraId="30F9F6BA" w14:textId="08350E6A" w:rsidR="00B93FA3" w:rsidRPr="00B93FA3" w:rsidRDefault="000B420A" w:rsidP="00B93FA3">
      <w:pPr>
        <w:ind w:left="-1134"/>
        <w:jc w:val="both"/>
        <w:rPr>
          <w:lang w:val="fr-BE"/>
        </w:rPr>
      </w:pPr>
      <w:r w:rsidRPr="000B420A">
        <w:t>L</w:t>
      </w:r>
      <w:r w:rsidR="00B93FA3" w:rsidRPr="00B93FA3">
        <w:rPr>
          <w:lang w:val="fr-BE"/>
        </w:rPr>
        <w:t>e titulaire s’engage à maintenir, pendant toute la durée du marché, les intervenants clés désignés dans son offre et mobilisés dès la phase de démarrage de la mission</w:t>
      </w:r>
      <w:r w:rsidR="00465BAC">
        <w:rPr>
          <w:lang w:val="fr-BE"/>
        </w:rPr>
        <w:t>.</w:t>
      </w:r>
    </w:p>
    <w:p w14:paraId="007AF971" w14:textId="77777777" w:rsidR="00B93FA3" w:rsidRPr="00B93FA3" w:rsidRDefault="00B93FA3" w:rsidP="00B93FA3">
      <w:pPr>
        <w:ind w:left="-1134"/>
        <w:jc w:val="both"/>
        <w:rPr>
          <w:lang w:val="fr-BE"/>
        </w:rPr>
      </w:pPr>
      <w:r w:rsidRPr="00B93FA3">
        <w:rPr>
          <w:lang w:val="fr-BE"/>
        </w:rPr>
        <w:t>Toute demande de remplacement d’un membre de l’équipe affectée au marché devra faire l’objet d’une information préalable et motivée auprès du maître d’ouvrage. Ce remplacement ne pourra intervenir qu’avec l’accord exprès de ce dernier, et uniquement après présentation d’un profil présentant des compétences équivalentes ou supérieures.</w:t>
      </w:r>
    </w:p>
    <w:p w14:paraId="08C01C8D" w14:textId="1BCC7D0A" w:rsidR="00B93FA3" w:rsidRPr="00B93FA3" w:rsidRDefault="00B93FA3" w:rsidP="00B93FA3">
      <w:pPr>
        <w:ind w:left="-1134"/>
        <w:jc w:val="both"/>
        <w:rPr>
          <w:lang w:val="fr-BE"/>
        </w:rPr>
      </w:pPr>
      <w:r w:rsidRPr="00B93FA3">
        <w:rPr>
          <w:lang w:val="fr-BE"/>
        </w:rPr>
        <w:t>Le titulaire devra assurer une transmission complète des informations et garantir la continuité des prestations, sans surcoût pour le maître d’ouvrage et sans impact sur le calendrier contractuel</w:t>
      </w:r>
      <w:r w:rsidR="00362117">
        <w:rPr>
          <w:lang w:val="fr-BE"/>
        </w:rPr>
        <w:t>, ni le montant</w:t>
      </w:r>
      <w:r w:rsidR="00DB44C6">
        <w:rPr>
          <w:lang w:val="fr-BE"/>
        </w:rPr>
        <w:t xml:space="preserve"> du marché.</w:t>
      </w:r>
    </w:p>
    <w:p w14:paraId="182A27BD" w14:textId="0B55A3DD" w:rsidR="00E14BE0" w:rsidRDefault="00B93FA3" w:rsidP="00B93FA3">
      <w:pPr>
        <w:ind w:left="-1134"/>
        <w:jc w:val="both"/>
        <w:rPr>
          <w:lang w:val="fr-BE"/>
        </w:rPr>
      </w:pPr>
      <w:r w:rsidRPr="00B93FA3">
        <w:rPr>
          <w:lang w:val="fr-BE"/>
        </w:rPr>
        <w:t>En cas de non-respect de cette clause, et notamment si un remplacement non validé affecte la qualité des livrables ou le bon déroulement de la mission, des pénalités spécifiques pourront être appliquées.</w:t>
      </w:r>
    </w:p>
    <w:p w14:paraId="4697F1AB" w14:textId="77777777" w:rsidR="00534815" w:rsidRPr="002B59C6" w:rsidRDefault="00534815" w:rsidP="00534815">
      <w:pPr>
        <w:pStyle w:val="Titre1"/>
        <w:rPr>
          <w:lang w:val="fr-BE"/>
        </w:rPr>
      </w:pPr>
      <w:bookmarkStart w:id="43" w:name="_Toc208220928"/>
      <w:r w:rsidRPr="006440B8">
        <w:t>CONFIDENTIALITE, PROTECTION DES DONNEES</w:t>
      </w:r>
      <w:r>
        <w:t xml:space="preserve"> </w:t>
      </w:r>
      <w:r w:rsidRPr="006440B8">
        <w:t>PERSONNELLES, MESURES DE SECURITE</w:t>
      </w:r>
      <w:bookmarkEnd w:id="43"/>
    </w:p>
    <w:p w14:paraId="4E1F0B28" w14:textId="77777777" w:rsidR="00534815" w:rsidRPr="00534815" w:rsidRDefault="00534815" w:rsidP="00534815">
      <w:pPr>
        <w:ind w:left="-1134"/>
        <w:jc w:val="both"/>
        <w:rPr>
          <w:lang w:val="fr-BE"/>
        </w:rPr>
      </w:pPr>
      <w:r w:rsidRPr="00534815">
        <w:rPr>
          <w:lang w:val="fr-BE"/>
        </w:rPr>
        <w:t xml:space="preserve">Par dérogation à l’article 5 du CCAG-PI, le titulaire s’engage à ne diffuser, communiquer ou réutiliser, directement ou indirectement, aucun des résultats ou données issus du présent marché (rapports, </w:t>
      </w:r>
      <w:r w:rsidRPr="00534815">
        <w:rPr>
          <w:lang w:val="fr-BE"/>
        </w:rPr>
        <w:lastRenderedPageBreak/>
        <w:t>bases de données, cartographies, fichiers SIG, illustrations, etc.) sans l’autorisation expresse, écrite et préalable du maître d’ouvrage.</w:t>
      </w:r>
    </w:p>
    <w:p w14:paraId="18304881" w14:textId="21A0DA9E" w:rsidR="00534815" w:rsidRPr="00B93FA3" w:rsidRDefault="00534815" w:rsidP="00534815">
      <w:pPr>
        <w:ind w:left="-1134"/>
        <w:jc w:val="both"/>
        <w:rPr>
          <w:lang w:val="fr-BE"/>
        </w:rPr>
      </w:pPr>
      <w:r w:rsidRPr="00534815">
        <w:rPr>
          <w:lang w:val="fr-BE"/>
        </w:rPr>
        <w:t>Cette obligation s’applique pendant toute la durée du marché et se prolonge sans limitation de durée après son achèvement.</w:t>
      </w:r>
    </w:p>
    <w:p w14:paraId="6BE0FFFD" w14:textId="4A475B6E" w:rsidR="003C26A1" w:rsidRPr="00465BAC" w:rsidRDefault="00465BAC" w:rsidP="00394727">
      <w:pPr>
        <w:pStyle w:val="Titre1"/>
        <w:rPr>
          <w:lang w:val="fr-BE"/>
        </w:rPr>
      </w:pPr>
      <w:bookmarkStart w:id="44" w:name="_Toc208220929"/>
      <w:r w:rsidRPr="00465BAC">
        <w:rPr>
          <w:lang w:val="fr-BE"/>
        </w:rPr>
        <w:t>RÉGIME DES RÉSULTATS</w:t>
      </w:r>
      <w:bookmarkEnd w:id="44"/>
    </w:p>
    <w:p w14:paraId="2C283D26" w14:textId="77777777" w:rsidR="00465BAC" w:rsidRPr="00465BAC" w:rsidRDefault="00465BAC" w:rsidP="00465BAC">
      <w:pPr>
        <w:spacing w:before="100" w:beforeAutospacing="1" w:after="100" w:afterAutospacing="1" w:line="240" w:lineRule="auto"/>
        <w:ind w:left="-1134"/>
        <w:jc w:val="both"/>
        <w:rPr>
          <w:lang w:val="fr-BE"/>
        </w:rPr>
      </w:pPr>
      <w:r w:rsidRPr="00465BAC">
        <w:rPr>
          <w:lang w:val="fr-BE"/>
        </w:rPr>
        <w:t>Par dérogation aux dispositions de l’article 35 du CCAG-PI, l’ensemble des résultats issus du présent marché (rapports, données, cartographies, fichiers sources, bases SIG, illustrations, supports de communication) est cédé intégralement et exclusivement au maître d’ouvrage, pour tous usages, sur tous supports, sans limitation de durée ni de territoire.</w:t>
      </w:r>
    </w:p>
    <w:p w14:paraId="455AB3AA" w14:textId="43223BB3" w:rsidR="00465BAC" w:rsidRPr="00465BAC" w:rsidRDefault="00465BAC" w:rsidP="00465BAC">
      <w:pPr>
        <w:spacing w:before="100" w:beforeAutospacing="1" w:after="100" w:afterAutospacing="1" w:line="240" w:lineRule="auto"/>
        <w:ind w:left="-1134"/>
        <w:jc w:val="both"/>
        <w:rPr>
          <w:lang w:val="fr-BE"/>
        </w:rPr>
      </w:pPr>
      <w:r w:rsidRPr="00465BAC">
        <w:rPr>
          <w:lang w:val="fr-BE"/>
        </w:rPr>
        <w:t>Le titulaire conserve la paternité scientifique et intellectuelle de ses travaux, mais ne pourra en aucun cas diffuser, reproduire ou réutiliser les livrables sans l’accord préalable et écrit du maître d’ouvrage.</w:t>
      </w:r>
    </w:p>
    <w:p w14:paraId="5A6B2286" w14:textId="14DFF072" w:rsidR="005211F3" w:rsidRPr="00BB0C87" w:rsidRDefault="005211F3" w:rsidP="00394727">
      <w:pPr>
        <w:pStyle w:val="Titre1"/>
      </w:pPr>
      <w:bookmarkStart w:id="45" w:name="_Toc161406961"/>
      <w:bookmarkStart w:id="46" w:name="_Toc208220930"/>
      <w:r w:rsidRPr="00BD48F4">
        <w:t>DIFFERENDS ET LITIGES</w:t>
      </w:r>
      <w:bookmarkEnd w:id="45"/>
      <w:bookmarkEnd w:id="46"/>
      <w:r w:rsidRPr="00BD48F4">
        <w:t xml:space="preserve"> </w:t>
      </w:r>
    </w:p>
    <w:p w14:paraId="5B185B8D" w14:textId="77777777" w:rsidR="005211F3" w:rsidRPr="00BD48F4" w:rsidRDefault="005211F3" w:rsidP="005211F3">
      <w:pPr>
        <w:ind w:left="-1134"/>
        <w:jc w:val="both"/>
      </w:pPr>
      <w:r w:rsidRPr="00BD48F4">
        <w:t xml:space="preserve">En cas de contentieux, le tribunal compétent sera le </w:t>
      </w:r>
      <w:r w:rsidRPr="00BB0C87">
        <w:rPr>
          <w:b/>
          <w:bCs/>
        </w:rPr>
        <w:t>Tribunal administratif de Cayenne</w:t>
      </w:r>
      <w:r>
        <w:t>.</w:t>
      </w:r>
    </w:p>
    <w:p w14:paraId="22A0B931" w14:textId="77777777" w:rsidR="00E752CB" w:rsidRDefault="00E752CB" w:rsidP="00DB44C6">
      <w:pPr>
        <w:spacing w:after="0" w:line="240" w:lineRule="auto"/>
        <w:jc w:val="center"/>
      </w:pPr>
      <w:r w:rsidRPr="006972E7">
        <w:t>7, rue Schoelcher, B.P. 5030, 97305</w:t>
      </w:r>
    </w:p>
    <w:p w14:paraId="310AC55D" w14:textId="22B8B266" w:rsidR="005211F3" w:rsidRPr="00E752CB" w:rsidRDefault="00E752CB" w:rsidP="00DB44C6">
      <w:pPr>
        <w:spacing w:after="0" w:line="240" w:lineRule="auto"/>
        <w:jc w:val="center"/>
      </w:pPr>
      <w:r w:rsidRPr="006972E7">
        <w:t>Cayenne Cedex</w:t>
      </w:r>
      <w:r w:rsidRPr="006972E7">
        <w:br/>
        <w:t>05 94 25 49 70</w:t>
      </w:r>
      <w:r w:rsidRPr="006972E7">
        <w:br/>
      </w:r>
      <w:hyperlink r:id="rId9" w:history="1">
        <w:r w:rsidRPr="006972E7">
          <w:t>greffe.ta-cayenne@juradm.fr</w:t>
        </w:r>
      </w:hyperlink>
    </w:p>
    <w:p w14:paraId="2EAF69C1" w14:textId="5746A677" w:rsidR="00791AA5" w:rsidRPr="002B59C6" w:rsidRDefault="00791AA5" w:rsidP="00394727">
      <w:pPr>
        <w:pStyle w:val="Titre1"/>
        <w:rPr>
          <w:lang w:val="fr-BE"/>
        </w:rPr>
      </w:pPr>
      <w:bookmarkStart w:id="47" w:name="_Toc208220931"/>
      <w:r w:rsidRPr="007D52FC">
        <w:rPr>
          <w:lang w:val="fr-BE"/>
        </w:rPr>
        <w:t>Dérogation</w:t>
      </w:r>
      <w:r w:rsidR="00A86924" w:rsidRPr="007D52FC">
        <w:rPr>
          <w:lang w:val="fr-BE"/>
        </w:rPr>
        <w:t>s au CCAG</w:t>
      </w:r>
      <w:bookmarkEnd w:id="47"/>
    </w:p>
    <w:p w14:paraId="4B429680" w14:textId="77777777" w:rsidR="00A86924" w:rsidRPr="00A86924" w:rsidRDefault="00A86924" w:rsidP="00A86924">
      <w:pPr>
        <w:spacing w:line="276" w:lineRule="auto"/>
        <w:ind w:left="-1134"/>
        <w:jc w:val="both"/>
        <w:rPr>
          <w:lang w:val="fr-BE"/>
        </w:rPr>
      </w:pPr>
      <w:r w:rsidRPr="00A86924">
        <w:rPr>
          <w:lang w:val="fr-BE"/>
        </w:rPr>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5F3D9CEF" w14:textId="77777777" w:rsidR="00A86924" w:rsidRDefault="00A86924" w:rsidP="00A86924">
      <w:pPr>
        <w:spacing w:line="276" w:lineRule="auto"/>
        <w:ind w:left="-1134"/>
        <w:jc w:val="both"/>
        <w:rPr>
          <w:lang w:val="fr-BE"/>
        </w:rPr>
      </w:pPr>
      <w:r w:rsidRPr="00A86924">
        <w:rPr>
          <w:lang w:val="fr-BE"/>
        </w:rPr>
        <w:t>Ces dérogations, dûment justifiées, prévalent sur les clauses du CCAG dans la mesure où elles sont expressément mentionnées dans le présent Cahier des Clauses Administratives Particulières (CCAP).</w:t>
      </w:r>
      <w:r w:rsidRPr="00A86924">
        <w:rPr>
          <w:lang w:val="fr-BE"/>
        </w:rPr>
        <w:br/>
        <w:t>En l'absence de mention spécifique ou de dérogation dans le tableau, les dispositions du CCAG restent pleinement applicables.</w:t>
      </w:r>
    </w:p>
    <w:p w14:paraId="2B2AE3AB" w14:textId="4E406C75" w:rsidR="00C917B4" w:rsidRDefault="00C917B4" w:rsidP="00C917B4">
      <w:pPr>
        <w:ind w:left="-1134"/>
        <w:rPr>
          <w:lang w:val="fr-BE"/>
        </w:rPr>
      </w:pPr>
      <w:r w:rsidRPr="00422C5A">
        <w:rPr>
          <w:lang w:val="fr-BE"/>
        </w:rPr>
        <w:t>L’article</w:t>
      </w:r>
      <w:r>
        <w:rPr>
          <w:lang w:val="fr-BE"/>
        </w:rPr>
        <w:t xml:space="preserve"> </w:t>
      </w:r>
      <w:r w:rsidR="00002A66">
        <w:rPr>
          <w:lang w:val="fr-BE"/>
        </w:rPr>
        <w:t xml:space="preserve">V </w:t>
      </w:r>
      <w:r w:rsidRPr="00422C5A">
        <w:rPr>
          <w:lang w:val="fr-BE"/>
        </w:rPr>
        <w:t xml:space="preserve">du CCAP déroge à l'article </w:t>
      </w:r>
      <w:r w:rsidR="00141473">
        <w:rPr>
          <w:lang w:val="fr-BE"/>
        </w:rPr>
        <w:t>14</w:t>
      </w:r>
      <w:r>
        <w:rPr>
          <w:lang w:val="fr-BE"/>
        </w:rPr>
        <w:t xml:space="preserve"> </w:t>
      </w:r>
      <w:r w:rsidRPr="00422C5A">
        <w:rPr>
          <w:lang w:val="fr-BE"/>
        </w:rPr>
        <w:t xml:space="preserve">du CCAG </w:t>
      </w:r>
      <w:r>
        <w:rPr>
          <w:lang w:val="fr-BE"/>
        </w:rPr>
        <w:t>Pénalités</w:t>
      </w:r>
      <w:r w:rsidR="00415745">
        <w:rPr>
          <w:lang w:val="fr-BE"/>
        </w:rPr>
        <w:t>.</w:t>
      </w:r>
    </w:p>
    <w:p w14:paraId="0B22CC11" w14:textId="0E11126D" w:rsidR="007257A1" w:rsidRDefault="00141473" w:rsidP="00534815">
      <w:pPr>
        <w:ind w:left="-1134"/>
        <w:rPr>
          <w:lang w:val="fr-BE"/>
        </w:rPr>
      </w:pPr>
      <w:r w:rsidRPr="00422C5A">
        <w:rPr>
          <w:lang w:val="fr-BE"/>
        </w:rPr>
        <w:t>L’article</w:t>
      </w:r>
      <w:r>
        <w:rPr>
          <w:lang w:val="fr-BE"/>
        </w:rPr>
        <w:t xml:space="preserve"> VII </w:t>
      </w:r>
      <w:r w:rsidRPr="00422C5A">
        <w:rPr>
          <w:lang w:val="fr-BE"/>
        </w:rPr>
        <w:t xml:space="preserve">du CCAP déroge à l'article </w:t>
      </w:r>
      <w:r>
        <w:rPr>
          <w:lang w:val="fr-BE"/>
        </w:rPr>
        <w:t xml:space="preserve">5 </w:t>
      </w:r>
      <w:r w:rsidRPr="00422C5A">
        <w:rPr>
          <w:lang w:val="fr-BE"/>
        </w:rPr>
        <w:t xml:space="preserve">du CCAG </w:t>
      </w:r>
      <w:r>
        <w:rPr>
          <w:lang w:val="fr-BE"/>
        </w:rPr>
        <w:t>Confidentialité.</w:t>
      </w:r>
    </w:p>
    <w:p w14:paraId="64CBAD46" w14:textId="39D90448" w:rsidR="0079766A" w:rsidRDefault="0079766A" w:rsidP="0079766A">
      <w:pPr>
        <w:ind w:left="-1134"/>
        <w:rPr>
          <w:lang w:val="fr-BE"/>
        </w:rPr>
      </w:pPr>
      <w:r w:rsidRPr="00422C5A">
        <w:rPr>
          <w:lang w:val="fr-BE"/>
        </w:rPr>
        <w:t>L’article</w:t>
      </w:r>
      <w:r>
        <w:rPr>
          <w:lang w:val="fr-BE"/>
        </w:rPr>
        <w:t xml:space="preserve"> </w:t>
      </w:r>
      <w:r w:rsidR="00534815">
        <w:rPr>
          <w:lang w:val="fr-BE"/>
        </w:rPr>
        <w:t>VI</w:t>
      </w:r>
      <w:r>
        <w:rPr>
          <w:lang w:val="fr-BE"/>
        </w:rPr>
        <w:t xml:space="preserve">II </w:t>
      </w:r>
      <w:r w:rsidRPr="00422C5A">
        <w:rPr>
          <w:lang w:val="fr-BE"/>
        </w:rPr>
        <w:t xml:space="preserve">du CCAP déroge à l'article </w:t>
      </w:r>
      <w:r w:rsidR="00534815">
        <w:rPr>
          <w:lang w:val="fr-BE"/>
        </w:rPr>
        <w:t>35</w:t>
      </w:r>
      <w:r>
        <w:rPr>
          <w:lang w:val="fr-BE"/>
        </w:rPr>
        <w:t xml:space="preserve"> </w:t>
      </w:r>
      <w:r w:rsidRPr="00422C5A">
        <w:rPr>
          <w:lang w:val="fr-BE"/>
        </w:rPr>
        <w:t xml:space="preserve">du CCAG </w:t>
      </w:r>
      <w:r w:rsidR="00534815" w:rsidRPr="00534815">
        <w:t>Régime des résultats</w:t>
      </w:r>
      <w:r>
        <w:rPr>
          <w:lang w:val="fr-BE"/>
        </w:rPr>
        <w:t>.</w:t>
      </w:r>
    </w:p>
    <w:p w14:paraId="5EB3918B" w14:textId="77777777" w:rsidR="00B93C2A" w:rsidRPr="00DB44C6" w:rsidRDefault="00B93C2A" w:rsidP="00DB44C6">
      <w:pPr>
        <w:rPr>
          <w:lang w:val="fr-BE"/>
        </w:rPr>
      </w:pPr>
    </w:p>
    <w:sectPr w:rsidR="00B93C2A" w:rsidRPr="00DB44C6" w:rsidSect="00AF2F0D">
      <w:headerReference w:type="default" r:id="rId10"/>
      <w:footerReference w:type="default" r:id="rId11"/>
      <w:headerReference w:type="first" r:id="rId12"/>
      <w:footerReference w:type="first" r:id="rId13"/>
      <w:pgSz w:w="11906" w:h="16838" w:code="9"/>
      <w:pgMar w:top="1418" w:right="1134" w:bottom="1134" w:left="2835" w:header="51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EEC74" w14:textId="77777777" w:rsidR="009B2B73" w:rsidRDefault="009B2B73" w:rsidP="00584267">
      <w:pPr>
        <w:spacing w:after="0" w:line="240" w:lineRule="auto"/>
      </w:pPr>
      <w:r>
        <w:separator/>
      </w:r>
    </w:p>
  </w:endnote>
  <w:endnote w:type="continuationSeparator" w:id="0">
    <w:p w14:paraId="329C3B72" w14:textId="77777777" w:rsidR="009B2B73" w:rsidRDefault="009B2B73"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7886949"/>
      <w:docPartObj>
        <w:docPartGallery w:val="Page Numbers (Bottom of Page)"/>
        <w:docPartUnique/>
      </w:docPartObj>
    </w:sdtPr>
    <w:sdtContent>
      <w:sdt>
        <w:sdtPr>
          <w:id w:val="-1769616900"/>
          <w:docPartObj>
            <w:docPartGallery w:val="Page Numbers (Top of Page)"/>
            <w:docPartUnique/>
          </w:docPartObj>
        </w:sdtPr>
        <w:sdtContent>
          <w:p w14:paraId="029E36F3" w14:textId="078F017B" w:rsidR="00A05305" w:rsidRPr="004A0147" w:rsidRDefault="00A05305" w:rsidP="00E67FC0">
            <w:pPr>
              <w:pStyle w:val="Pieddepage"/>
            </w:pPr>
            <w:r w:rsidRPr="004A0147">
              <w:rPr>
                <w:sz w:val="16"/>
                <w:szCs w:val="16"/>
              </w:rPr>
              <w:t>PAD-03-25</w:t>
            </w:r>
            <w:r w:rsidRPr="004A0147">
              <w:rPr>
                <w:sz w:val="16"/>
                <w:szCs w:val="16"/>
              </w:rPr>
              <w:tab/>
              <w:t>CCAP SDPN</w:t>
            </w:r>
            <w:r w:rsidRPr="004A0147">
              <w:rPr>
                <w:sz w:val="16"/>
                <w:szCs w:val="16"/>
              </w:rPr>
              <w:tab/>
              <w:t xml:space="preserve">Page </w:t>
            </w:r>
            <w:r w:rsidRPr="004A0147">
              <w:rPr>
                <w:bCs/>
                <w:sz w:val="16"/>
                <w:szCs w:val="16"/>
              </w:rPr>
              <w:fldChar w:fldCharType="begin"/>
            </w:r>
            <w:r w:rsidRPr="004A0147">
              <w:rPr>
                <w:bCs/>
                <w:sz w:val="16"/>
                <w:szCs w:val="16"/>
              </w:rPr>
              <w:instrText>PAGE</w:instrText>
            </w:r>
            <w:r w:rsidRPr="004A0147">
              <w:rPr>
                <w:bCs/>
                <w:sz w:val="16"/>
                <w:szCs w:val="16"/>
              </w:rPr>
              <w:fldChar w:fldCharType="separate"/>
            </w:r>
            <w:r w:rsidRPr="004A0147">
              <w:rPr>
                <w:bCs/>
                <w:sz w:val="16"/>
                <w:szCs w:val="16"/>
              </w:rPr>
              <w:t>2</w:t>
            </w:r>
            <w:r w:rsidRPr="004A0147">
              <w:rPr>
                <w:bCs/>
                <w:sz w:val="16"/>
                <w:szCs w:val="16"/>
              </w:rPr>
              <w:fldChar w:fldCharType="end"/>
            </w:r>
            <w:r w:rsidRPr="004A0147">
              <w:rPr>
                <w:sz w:val="16"/>
                <w:szCs w:val="16"/>
              </w:rPr>
              <w:t xml:space="preserve"> sur </w:t>
            </w:r>
            <w:r w:rsidRPr="004A0147">
              <w:rPr>
                <w:bCs/>
                <w:sz w:val="16"/>
                <w:szCs w:val="16"/>
              </w:rPr>
              <w:fldChar w:fldCharType="begin"/>
            </w:r>
            <w:r w:rsidRPr="004A0147">
              <w:rPr>
                <w:bCs/>
                <w:sz w:val="16"/>
                <w:szCs w:val="16"/>
              </w:rPr>
              <w:instrText>NUMPAGES</w:instrText>
            </w:r>
            <w:r w:rsidRPr="004A0147">
              <w:rPr>
                <w:bCs/>
                <w:sz w:val="16"/>
                <w:szCs w:val="16"/>
              </w:rPr>
              <w:fldChar w:fldCharType="separate"/>
            </w:r>
            <w:r w:rsidRPr="004A0147">
              <w:rPr>
                <w:bCs/>
                <w:sz w:val="16"/>
                <w:szCs w:val="16"/>
              </w:rPr>
              <w:t>2</w:t>
            </w:r>
            <w:r w:rsidRPr="004A0147">
              <w:rPr>
                <w:bCs/>
                <w:sz w:val="16"/>
                <w:szCs w:val="16"/>
              </w:rPr>
              <w:fldChar w:fldCharType="end"/>
            </w:r>
          </w:p>
        </w:sdtContent>
      </w:sdt>
    </w:sdtContent>
  </w:sdt>
  <w:p w14:paraId="74B67B28" w14:textId="74511CBD" w:rsidR="003C7C07" w:rsidRPr="008E6911" w:rsidRDefault="003C7C07" w:rsidP="00E67FC0">
    <w:pPr>
      <w:pStyle w:val="Pieddepage"/>
      <w:rPr>
        <w:i/>
        <w:iCs/>
        <w:smallCap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5B4EAD09" w:rsidR="003C7C07" w:rsidRPr="00BE3B49" w:rsidRDefault="003C7C07" w:rsidP="00BE3B49">
    <w:pPr>
      <w:spacing w:after="200" w:line="276" w:lineRule="auto"/>
      <w:rPr>
        <w:lang w:val="en-Z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5F5F9" w14:textId="77777777" w:rsidR="009B2B73" w:rsidRDefault="009B2B73" w:rsidP="00584267">
      <w:pPr>
        <w:spacing w:after="0" w:line="240" w:lineRule="auto"/>
      </w:pPr>
      <w:r>
        <w:separator/>
      </w:r>
    </w:p>
  </w:footnote>
  <w:footnote w:type="continuationSeparator" w:id="0">
    <w:p w14:paraId="2F9801CE" w14:textId="77777777" w:rsidR="009B2B73" w:rsidRDefault="009B2B73"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22C5" w14:textId="3033F1EE" w:rsidR="003C7C07" w:rsidRPr="00135E04" w:rsidRDefault="00135E04" w:rsidP="00135E04">
    <w:pPr>
      <w:pStyle w:val="En-tte"/>
      <w:tabs>
        <w:tab w:val="clear" w:pos="4536"/>
        <w:tab w:val="clear" w:pos="9072"/>
        <w:tab w:val="left" w:pos="1950"/>
      </w:tabs>
      <w:ind w:left="-1843"/>
      <w:jc w:val="center"/>
      <w:rPr>
        <w:b/>
        <w:bCs/>
        <w:sz w:val="14"/>
        <w:szCs w:val="14"/>
      </w:rPr>
    </w:pPr>
    <w:bookmarkStart w:id="48" w:name="_Hlk212104662"/>
    <w:bookmarkStart w:id="49" w:name="_Hlk212097953"/>
    <w:r w:rsidRPr="00135E04">
      <w:rPr>
        <w:b/>
        <w:bCs/>
        <w:sz w:val="14"/>
        <w:szCs w:val="14"/>
      </w:rPr>
      <w:t>GRAND PORT MARITIME DE GUYANE</w:t>
    </w:r>
  </w:p>
  <w:p w14:paraId="0E778FA5" w14:textId="77777777" w:rsidR="00371583" w:rsidRPr="00135E04" w:rsidRDefault="00371583" w:rsidP="00AF2F0D">
    <w:pPr>
      <w:pStyle w:val="En-tte"/>
      <w:tabs>
        <w:tab w:val="left" w:pos="1950"/>
      </w:tabs>
      <w:ind w:left="-1843"/>
      <w:jc w:val="center"/>
      <w:rPr>
        <w:b/>
        <w:bCs/>
        <w:sz w:val="14"/>
        <w:szCs w:val="14"/>
      </w:rPr>
    </w:pPr>
    <w:r w:rsidRPr="00135E04">
      <w:rPr>
        <w:b/>
        <w:bCs/>
        <w:sz w:val="14"/>
        <w:szCs w:val="14"/>
      </w:rPr>
      <w:t>MISSION D’ÉLABORATION DU SCHEMA DIRECTEUR DU PATRIMOINE NATUREL (S.D.P.N.)</w:t>
    </w:r>
    <w:bookmarkEnd w:id="48"/>
  </w:p>
  <w:bookmarkEnd w:id="49"/>
  <w:p w14:paraId="68CBC63E" w14:textId="77777777" w:rsidR="00135E04" w:rsidRDefault="00135E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2319E43F" w:rsidR="003C7C07" w:rsidRDefault="003C7C07" w:rsidP="00F700E3">
    <w:pPr>
      <w:pStyle w:val="Pieddepage"/>
      <w:rPr>
        <w:sz w:val="24"/>
        <w:szCs w:val="24"/>
      </w:rPr>
    </w:pPr>
    <w:r w:rsidRPr="00820680">
      <w:rPr>
        <w:sz w:val="24"/>
        <w:szCs w:val="24"/>
      </w:rPr>
      <w:t xml:space="preserve">                                                                                                      </w:t>
    </w:r>
    <w:r>
      <w:rPr>
        <w:sz w:val="24"/>
        <w:szCs w:val="24"/>
      </w:rPr>
      <w:t xml:space="preserve">       </w:t>
    </w:r>
  </w:p>
  <w:p w14:paraId="6A800816" w14:textId="668185FC" w:rsidR="003C7C07" w:rsidRDefault="003C7C07" w:rsidP="00F700E3">
    <w:pPr>
      <w:pStyle w:val="Pieddepage"/>
      <w:rPr>
        <w:sz w:val="24"/>
        <w:szCs w:val="24"/>
      </w:rPr>
    </w:pPr>
  </w:p>
  <w:p w14:paraId="76D03E2E" w14:textId="2A3BECF6" w:rsidR="003C7C07" w:rsidRDefault="003C7C07" w:rsidP="00F700E3">
    <w:pPr>
      <w:pStyle w:val="Pieddepage"/>
      <w:rPr>
        <w:sz w:val="24"/>
        <w:szCs w:val="24"/>
      </w:rPr>
    </w:pPr>
  </w:p>
  <w:p w14:paraId="1BBEC1F4" w14:textId="77777777" w:rsidR="003C7C07" w:rsidRDefault="003C7C07" w:rsidP="00AF4186">
    <w:pPr>
      <w:pStyle w:val="En-tte"/>
      <w:ind w:left="-1843"/>
      <w:rPr>
        <w:b/>
        <w:bCs/>
      </w:rPr>
    </w:pPr>
    <w:r>
      <w:rPr>
        <w:b/>
        <w:bCs/>
      </w:rPr>
      <w:t xml:space="preserve"> </w:t>
    </w:r>
  </w:p>
  <w:p w14:paraId="11D2E231" w14:textId="74B9D273" w:rsidR="003C7C07" w:rsidRPr="0057346D" w:rsidRDefault="003C7C07"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5C57C7C"/>
    <w:multiLevelType w:val="multilevel"/>
    <w:tmpl w:val="FF62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2A7F2F"/>
    <w:multiLevelType w:val="multilevel"/>
    <w:tmpl w:val="FC14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271DB6"/>
    <w:multiLevelType w:val="multilevel"/>
    <w:tmpl w:val="485A2B88"/>
    <w:lvl w:ilvl="0">
      <w:start w:val="1"/>
      <w:numFmt w:val="upperRoman"/>
      <w:pStyle w:val="Titre1"/>
      <w:lvlText w:val="Article %1."/>
      <w:lvlJc w:val="left"/>
      <w:pPr>
        <w:ind w:left="0" w:firstLine="0"/>
      </w:pPr>
    </w:lvl>
    <w:lvl w:ilvl="1">
      <w:start w:val="1"/>
      <w:numFmt w:val="decimalZero"/>
      <w:pStyle w:val="Titre2"/>
      <w:isLgl/>
      <w:lvlText w:val="Section %1.%2"/>
      <w:lvlJc w:val="left"/>
      <w:pPr>
        <w:ind w:left="568" w:firstLine="0"/>
      </w:pPr>
    </w:lvl>
    <w:lvl w:ilvl="2">
      <w:start w:val="1"/>
      <w:numFmt w:val="lowerLetter"/>
      <w:pStyle w:val="Titre3"/>
      <w:lvlText w:val="(%3)"/>
      <w:lvlJc w:val="left"/>
      <w:pPr>
        <w:ind w:left="720" w:hanging="432"/>
      </w:pPr>
      <w:rPr>
        <w:b/>
        <w:bCs w:val="0"/>
      </w:r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7" w15:restartNumberingAfterBreak="0">
    <w:nsid w:val="121B4C2C"/>
    <w:multiLevelType w:val="hybridMultilevel"/>
    <w:tmpl w:val="ED22C1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64B69A0"/>
    <w:multiLevelType w:val="multilevel"/>
    <w:tmpl w:val="E406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B6EC0"/>
    <w:multiLevelType w:val="multilevel"/>
    <w:tmpl w:val="16041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1" w15:restartNumberingAfterBreak="0">
    <w:nsid w:val="23F351CF"/>
    <w:multiLevelType w:val="hybridMultilevel"/>
    <w:tmpl w:val="1B40E0E2"/>
    <w:lvl w:ilvl="0" w:tplc="0D6E8484">
      <w:start w:val="3"/>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8E23F9"/>
    <w:multiLevelType w:val="multilevel"/>
    <w:tmpl w:val="625CE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F8209A"/>
    <w:multiLevelType w:val="multilevel"/>
    <w:tmpl w:val="C84245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8722D1"/>
    <w:multiLevelType w:val="hybridMultilevel"/>
    <w:tmpl w:val="C254CCF4"/>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E576AE"/>
    <w:multiLevelType w:val="multilevel"/>
    <w:tmpl w:val="7466E33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A647D5"/>
    <w:multiLevelType w:val="multilevel"/>
    <w:tmpl w:val="DF1A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F06C11"/>
    <w:multiLevelType w:val="multilevel"/>
    <w:tmpl w:val="3BD6E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F97BE0"/>
    <w:multiLevelType w:val="multilevel"/>
    <w:tmpl w:val="3260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E3DD1"/>
    <w:multiLevelType w:val="multilevel"/>
    <w:tmpl w:val="5D889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04539D"/>
    <w:multiLevelType w:val="multilevel"/>
    <w:tmpl w:val="D850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546ACA"/>
    <w:multiLevelType w:val="multilevel"/>
    <w:tmpl w:val="13BC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7A1BC8"/>
    <w:multiLevelType w:val="multilevel"/>
    <w:tmpl w:val="DE88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CA2A2D"/>
    <w:multiLevelType w:val="multilevel"/>
    <w:tmpl w:val="5356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292E29"/>
    <w:multiLevelType w:val="multilevel"/>
    <w:tmpl w:val="0E36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65142C"/>
    <w:multiLevelType w:val="multilevel"/>
    <w:tmpl w:val="3346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2241AD"/>
    <w:multiLevelType w:val="multilevel"/>
    <w:tmpl w:val="AFCA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6357649">
    <w:abstractNumId w:val="3"/>
  </w:num>
  <w:num w:numId="2" w16cid:durableId="1523936994">
    <w:abstractNumId w:val="2"/>
  </w:num>
  <w:num w:numId="3" w16cid:durableId="2025738916">
    <w:abstractNumId w:val="1"/>
  </w:num>
  <w:num w:numId="4" w16cid:durableId="867641584">
    <w:abstractNumId w:val="0"/>
  </w:num>
  <w:num w:numId="5" w16cid:durableId="1412851843">
    <w:abstractNumId w:val="15"/>
  </w:num>
  <w:num w:numId="6" w16cid:durableId="1601795065">
    <w:abstractNumId w:val="14"/>
  </w:num>
  <w:num w:numId="7" w16cid:durableId="1108887611">
    <w:abstractNumId w:val="10"/>
  </w:num>
  <w:num w:numId="8" w16cid:durableId="1152404951">
    <w:abstractNumId w:val="6"/>
  </w:num>
  <w:num w:numId="9" w16cid:durableId="724641992">
    <w:abstractNumId w:val="11"/>
  </w:num>
  <w:num w:numId="10" w16cid:durableId="405148276">
    <w:abstractNumId w:val="20"/>
  </w:num>
  <w:num w:numId="11" w16cid:durableId="936641586">
    <w:abstractNumId w:val="21"/>
  </w:num>
  <w:num w:numId="12" w16cid:durableId="1232421915">
    <w:abstractNumId w:val="22"/>
  </w:num>
  <w:num w:numId="13" w16cid:durableId="938637541">
    <w:abstractNumId w:val="25"/>
  </w:num>
  <w:num w:numId="14" w16cid:durableId="2037850106">
    <w:abstractNumId w:val="24"/>
  </w:num>
  <w:num w:numId="15" w16cid:durableId="2133596919">
    <w:abstractNumId w:val="26"/>
  </w:num>
  <w:num w:numId="16" w16cid:durableId="897478771">
    <w:abstractNumId w:val="8"/>
  </w:num>
  <w:num w:numId="17" w16cid:durableId="2073850006">
    <w:abstractNumId w:val="27"/>
  </w:num>
  <w:num w:numId="18" w16cid:durableId="586886546">
    <w:abstractNumId w:val="16"/>
  </w:num>
  <w:num w:numId="19" w16cid:durableId="498547484">
    <w:abstractNumId w:val="23"/>
  </w:num>
  <w:num w:numId="20" w16cid:durableId="372269718">
    <w:abstractNumId w:val="7"/>
  </w:num>
  <w:num w:numId="21" w16cid:durableId="1818691181">
    <w:abstractNumId w:val="13"/>
  </w:num>
  <w:num w:numId="22" w16cid:durableId="471556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44412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06799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75354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72633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83171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25985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404513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2977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941192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48837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85351060">
    <w:abstractNumId w:val="19"/>
  </w:num>
  <w:num w:numId="34" w16cid:durableId="7824587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767407">
    <w:abstractNumId w:val="4"/>
  </w:num>
  <w:num w:numId="36" w16cid:durableId="1447697024">
    <w:abstractNumId w:val="9"/>
  </w:num>
  <w:num w:numId="37" w16cid:durableId="1947736241">
    <w:abstractNumId w:val="17"/>
  </w:num>
  <w:num w:numId="38" w16cid:durableId="712080921">
    <w:abstractNumId w:val="5"/>
  </w:num>
  <w:num w:numId="39" w16cid:durableId="2098670483">
    <w:abstractNumId w:val="18"/>
  </w:num>
  <w:num w:numId="40" w16cid:durableId="196978117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2A66"/>
    <w:rsid w:val="00011E25"/>
    <w:rsid w:val="00012023"/>
    <w:rsid w:val="00016BA3"/>
    <w:rsid w:val="00026183"/>
    <w:rsid w:val="00036A02"/>
    <w:rsid w:val="00043380"/>
    <w:rsid w:val="000559A4"/>
    <w:rsid w:val="00081493"/>
    <w:rsid w:val="00085AC9"/>
    <w:rsid w:val="000929E6"/>
    <w:rsid w:val="000A0133"/>
    <w:rsid w:val="000B0162"/>
    <w:rsid w:val="000B09C5"/>
    <w:rsid w:val="000B420A"/>
    <w:rsid w:val="000B4395"/>
    <w:rsid w:val="000B720A"/>
    <w:rsid w:val="000C358F"/>
    <w:rsid w:val="000E104C"/>
    <w:rsid w:val="000E4550"/>
    <w:rsid w:val="000E4B9D"/>
    <w:rsid w:val="000F798C"/>
    <w:rsid w:val="001054C7"/>
    <w:rsid w:val="00105AD3"/>
    <w:rsid w:val="0011434B"/>
    <w:rsid w:val="00115026"/>
    <w:rsid w:val="00116CF5"/>
    <w:rsid w:val="001214BE"/>
    <w:rsid w:val="0012287F"/>
    <w:rsid w:val="0012348F"/>
    <w:rsid w:val="00135E04"/>
    <w:rsid w:val="00137429"/>
    <w:rsid w:val="00141473"/>
    <w:rsid w:val="0014346E"/>
    <w:rsid w:val="00155E90"/>
    <w:rsid w:val="00160267"/>
    <w:rsid w:val="00160624"/>
    <w:rsid w:val="00170134"/>
    <w:rsid w:val="00172D9C"/>
    <w:rsid w:val="00172E1A"/>
    <w:rsid w:val="001817C1"/>
    <w:rsid w:val="00181BF8"/>
    <w:rsid w:val="00191A59"/>
    <w:rsid w:val="001A08EE"/>
    <w:rsid w:val="001B5B9D"/>
    <w:rsid w:val="001C1851"/>
    <w:rsid w:val="001C6529"/>
    <w:rsid w:val="001D000E"/>
    <w:rsid w:val="001D2796"/>
    <w:rsid w:val="001F0574"/>
    <w:rsid w:val="001F1BCF"/>
    <w:rsid w:val="001F5D68"/>
    <w:rsid w:val="001F5FE6"/>
    <w:rsid w:val="00203D6C"/>
    <w:rsid w:val="00212E61"/>
    <w:rsid w:val="00215AF5"/>
    <w:rsid w:val="00223CC1"/>
    <w:rsid w:val="0024001C"/>
    <w:rsid w:val="00243F24"/>
    <w:rsid w:val="002467E2"/>
    <w:rsid w:val="00247CE8"/>
    <w:rsid w:val="0025161C"/>
    <w:rsid w:val="0026464C"/>
    <w:rsid w:val="0027164C"/>
    <w:rsid w:val="00272836"/>
    <w:rsid w:val="00275745"/>
    <w:rsid w:val="00281D17"/>
    <w:rsid w:val="00281F9C"/>
    <w:rsid w:val="00284865"/>
    <w:rsid w:val="0028762B"/>
    <w:rsid w:val="0029040A"/>
    <w:rsid w:val="00292AF0"/>
    <w:rsid w:val="002961DF"/>
    <w:rsid w:val="002A0663"/>
    <w:rsid w:val="002A1980"/>
    <w:rsid w:val="002A3B03"/>
    <w:rsid w:val="002B4816"/>
    <w:rsid w:val="002B59C6"/>
    <w:rsid w:val="002B66BC"/>
    <w:rsid w:val="002B78C1"/>
    <w:rsid w:val="002C6C58"/>
    <w:rsid w:val="002C6D7A"/>
    <w:rsid w:val="002D7ACA"/>
    <w:rsid w:val="002E22B3"/>
    <w:rsid w:val="00301A60"/>
    <w:rsid w:val="00303C91"/>
    <w:rsid w:val="00313C44"/>
    <w:rsid w:val="00315909"/>
    <w:rsid w:val="00327534"/>
    <w:rsid w:val="003320AE"/>
    <w:rsid w:val="00362117"/>
    <w:rsid w:val="00362823"/>
    <w:rsid w:val="00371583"/>
    <w:rsid w:val="00376678"/>
    <w:rsid w:val="00385D2E"/>
    <w:rsid w:val="00394727"/>
    <w:rsid w:val="00397B13"/>
    <w:rsid w:val="003A5DCC"/>
    <w:rsid w:val="003A622E"/>
    <w:rsid w:val="003B5381"/>
    <w:rsid w:val="003C26A1"/>
    <w:rsid w:val="003C3C74"/>
    <w:rsid w:val="003C65E8"/>
    <w:rsid w:val="003C7C07"/>
    <w:rsid w:val="003D0E2C"/>
    <w:rsid w:val="003D2A96"/>
    <w:rsid w:val="003E4DA4"/>
    <w:rsid w:val="003E58B4"/>
    <w:rsid w:val="003E73E4"/>
    <w:rsid w:val="003F1DDC"/>
    <w:rsid w:val="003F7627"/>
    <w:rsid w:val="003F7E04"/>
    <w:rsid w:val="004002EF"/>
    <w:rsid w:val="004063F8"/>
    <w:rsid w:val="004142D3"/>
    <w:rsid w:val="00415745"/>
    <w:rsid w:val="004164A8"/>
    <w:rsid w:val="00422C5A"/>
    <w:rsid w:val="0043241D"/>
    <w:rsid w:val="00433D73"/>
    <w:rsid w:val="004346A4"/>
    <w:rsid w:val="00441E32"/>
    <w:rsid w:val="004472C5"/>
    <w:rsid w:val="004523D4"/>
    <w:rsid w:val="00456C77"/>
    <w:rsid w:val="00462C55"/>
    <w:rsid w:val="004657BA"/>
    <w:rsid w:val="00465BAC"/>
    <w:rsid w:val="00484E63"/>
    <w:rsid w:val="0048775C"/>
    <w:rsid w:val="00487F5D"/>
    <w:rsid w:val="004977C9"/>
    <w:rsid w:val="004A0147"/>
    <w:rsid w:val="004A1961"/>
    <w:rsid w:val="004A21DC"/>
    <w:rsid w:val="004A78D6"/>
    <w:rsid w:val="004B472A"/>
    <w:rsid w:val="004B58D4"/>
    <w:rsid w:val="004B662D"/>
    <w:rsid w:val="004C1A95"/>
    <w:rsid w:val="004C4623"/>
    <w:rsid w:val="004D46DE"/>
    <w:rsid w:val="004D61E0"/>
    <w:rsid w:val="004E029F"/>
    <w:rsid w:val="004E5A16"/>
    <w:rsid w:val="004F36E3"/>
    <w:rsid w:val="004F5730"/>
    <w:rsid w:val="005016CC"/>
    <w:rsid w:val="0050623B"/>
    <w:rsid w:val="00516003"/>
    <w:rsid w:val="005211F3"/>
    <w:rsid w:val="005237D3"/>
    <w:rsid w:val="00534815"/>
    <w:rsid w:val="00541445"/>
    <w:rsid w:val="00543129"/>
    <w:rsid w:val="005452DB"/>
    <w:rsid w:val="00556382"/>
    <w:rsid w:val="00563F22"/>
    <w:rsid w:val="00570C10"/>
    <w:rsid w:val="0057346D"/>
    <w:rsid w:val="0057675B"/>
    <w:rsid w:val="005815CB"/>
    <w:rsid w:val="00584267"/>
    <w:rsid w:val="005862B7"/>
    <w:rsid w:val="005929C1"/>
    <w:rsid w:val="005942A3"/>
    <w:rsid w:val="00597990"/>
    <w:rsid w:val="005B09A7"/>
    <w:rsid w:val="005B229F"/>
    <w:rsid w:val="005B63BC"/>
    <w:rsid w:val="005C24A7"/>
    <w:rsid w:val="005C7312"/>
    <w:rsid w:val="005C7ED0"/>
    <w:rsid w:val="005D4CB8"/>
    <w:rsid w:val="005F2FA6"/>
    <w:rsid w:val="005F4F8D"/>
    <w:rsid w:val="005F55F6"/>
    <w:rsid w:val="00600003"/>
    <w:rsid w:val="00600B01"/>
    <w:rsid w:val="006051E0"/>
    <w:rsid w:val="0061130B"/>
    <w:rsid w:val="00611BF3"/>
    <w:rsid w:val="0061446C"/>
    <w:rsid w:val="00640AA8"/>
    <w:rsid w:val="00641218"/>
    <w:rsid w:val="0064321B"/>
    <w:rsid w:val="006440B8"/>
    <w:rsid w:val="00644F84"/>
    <w:rsid w:val="00646344"/>
    <w:rsid w:val="00647AFF"/>
    <w:rsid w:val="00657430"/>
    <w:rsid w:val="00657E06"/>
    <w:rsid w:val="00662F63"/>
    <w:rsid w:val="00666799"/>
    <w:rsid w:val="00666851"/>
    <w:rsid w:val="00671FF5"/>
    <w:rsid w:val="006728D4"/>
    <w:rsid w:val="00674513"/>
    <w:rsid w:val="006912B1"/>
    <w:rsid w:val="00694703"/>
    <w:rsid w:val="0069511D"/>
    <w:rsid w:val="006A5945"/>
    <w:rsid w:val="006A643F"/>
    <w:rsid w:val="006A762A"/>
    <w:rsid w:val="006A79CD"/>
    <w:rsid w:val="006B3E36"/>
    <w:rsid w:val="006D43B1"/>
    <w:rsid w:val="006D6EB7"/>
    <w:rsid w:val="006E2FFD"/>
    <w:rsid w:val="006E69C7"/>
    <w:rsid w:val="006E72C7"/>
    <w:rsid w:val="006F4887"/>
    <w:rsid w:val="00710E3D"/>
    <w:rsid w:val="00717480"/>
    <w:rsid w:val="00717F58"/>
    <w:rsid w:val="007257A1"/>
    <w:rsid w:val="00732376"/>
    <w:rsid w:val="00732D58"/>
    <w:rsid w:val="00743CBC"/>
    <w:rsid w:val="007508B8"/>
    <w:rsid w:val="007546BF"/>
    <w:rsid w:val="0076674D"/>
    <w:rsid w:val="00772027"/>
    <w:rsid w:val="00772C55"/>
    <w:rsid w:val="00782B1B"/>
    <w:rsid w:val="00783ED7"/>
    <w:rsid w:val="0078747A"/>
    <w:rsid w:val="00791AA5"/>
    <w:rsid w:val="007931BE"/>
    <w:rsid w:val="00796CE6"/>
    <w:rsid w:val="00797596"/>
    <w:rsid w:val="0079766A"/>
    <w:rsid w:val="007A0FE4"/>
    <w:rsid w:val="007A10A3"/>
    <w:rsid w:val="007A44EC"/>
    <w:rsid w:val="007A6150"/>
    <w:rsid w:val="007B017C"/>
    <w:rsid w:val="007B75FD"/>
    <w:rsid w:val="007C04BF"/>
    <w:rsid w:val="007C4A23"/>
    <w:rsid w:val="007D52FC"/>
    <w:rsid w:val="007F1BF1"/>
    <w:rsid w:val="007F7E40"/>
    <w:rsid w:val="008012C0"/>
    <w:rsid w:val="00802221"/>
    <w:rsid w:val="00805097"/>
    <w:rsid w:val="00805A2D"/>
    <w:rsid w:val="008062D1"/>
    <w:rsid w:val="00816BD7"/>
    <w:rsid w:val="00820680"/>
    <w:rsid w:val="00830216"/>
    <w:rsid w:val="008376D0"/>
    <w:rsid w:val="00854AB1"/>
    <w:rsid w:val="00855C60"/>
    <w:rsid w:val="008807F8"/>
    <w:rsid w:val="008944CE"/>
    <w:rsid w:val="00897828"/>
    <w:rsid w:val="008A6734"/>
    <w:rsid w:val="008C1E61"/>
    <w:rsid w:val="008D7BB1"/>
    <w:rsid w:val="008E3D10"/>
    <w:rsid w:val="008E4863"/>
    <w:rsid w:val="008E6911"/>
    <w:rsid w:val="008F2E64"/>
    <w:rsid w:val="008F445F"/>
    <w:rsid w:val="00905E14"/>
    <w:rsid w:val="00920E09"/>
    <w:rsid w:val="009268D9"/>
    <w:rsid w:val="00930FE0"/>
    <w:rsid w:val="00934257"/>
    <w:rsid w:val="00934DA0"/>
    <w:rsid w:val="00937D9E"/>
    <w:rsid w:val="009400D4"/>
    <w:rsid w:val="00941476"/>
    <w:rsid w:val="009431F5"/>
    <w:rsid w:val="0095093B"/>
    <w:rsid w:val="00962FD5"/>
    <w:rsid w:val="009642F3"/>
    <w:rsid w:val="0097218E"/>
    <w:rsid w:val="0097650D"/>
    <w:rsid w:val="00980711"/>
    <w:rsid w:val="00986973"/>
    <w:rsid w:val="00993119"/>
    <w:rsid w:val="0099640B"/>
    <w:rsid w:val="009A073E"/>
    <w:rsid w:val="009B2B73"/>
    <w:rsid w:val="009B355E"/>
    <w:rsid w:val="009C020E"/>
    <w:rsid w:val="009C2EE7"/>
    <w:rsid w:val="009D7405"/>
    <w:rsid w:val="009E09AE"/>
    <w:rsid w:val="009E10E7"/>
    <w:rsid w:val="009F0371"/>
    <w:rsid w:val="00A016C9"/>
    <w:rsid w:val="00A03845"/>
    <w:rsid w:val="00A03A89"/>
    <w:rsid w:val="00A05305"/>
    <w:rsid w:val="00A06F4D"/>
    <w:rsid w:val="00A070F6"/>
    <w:rsid w:val="00A23C24"/>
    <w:rsid w:val="00A34C10"/>
    <w:rsid w:val="00A34F17"/>
    <w:rsid w:val="00A36D7D"/>
    <w:rsid w:val="00A37FAC"/>
    <w:rsid w:val="00A42EA3"/>
    <w:rsid w:val="00A46B9F"/>
    <w:rsid w:val="00A5021C"/>
    <w:rsid w:val="00A63084"/>
    <w:rsid w:val="00A65A30"/>
    <w:rsid w:val="00A67102"/>
    <w:rsid w:val="00A74891"/>
    <w:rsid w:val="00A86924"/>
    <w:rsid w:val="00A97923"/>
    <w:rsid w:val="00AA5C2F"/>
    <w:rsid w:val="00AA7022"/>
    <w:rsid w:val="00AB337F"/>
    <w:rsid w:val="00AD13B3"/>
    <w:rsid w:val="00AD1887"/>
    <w:rsid w:val="00AD26C0"/>
    <w:rsid w:val="00AD5C21"/>
    <w:rsid w:val="00AE311A"/>
    <w:rsid w:val="00AE3274"/>
    <w:rsid w:val="00AE5FD6"/>
    <w:rsid w:val="00AF14F3"/>
    <w:rsid w:val="00AF2F0D"/>
    <w:rsid w:val="00AF4186"/>
    <w:rsid w:val="00AF5AD9"/>
    <w:rsid w:val="00AF643D"/>
    <w:rsid w:val="00AF7940"/>
    <w:rsid w:val="00B03C9C"/>
    <w:rsid w:val="00B05C99"/>
    <w:rsid w:val="00B06987"/>
    <w:rsid w:val="00B10575"/>
    <w:rsid w:val="00B35624"/>
    <w:rsid w:val="00B35DC6"/>
    <w:rsid w:val="00B370F9"/>
    <w:rsid w:val="00B46982"/>
    <w:rsid w:val="00B51409"/>
    <w:rsid w:val="00B51833"/>
    <w:rsid w:val="00B81017"/>
    <w:rsid w:val="00B93C2A"/>
    <w:rsid w:val="00B93FA3"/>
    <w:rsid w:val="00BA0250"/>
    <w:rsid w:val="00BA45A8"/>
    <w:rsid w:val="00BB0C87"/>
    <w:rsid w:val="00BB196B"/>
    <w:rsid w:val="00BB196C"/>
    <w:rsid w:val="00BB794F"/>
    <w:rsid w:val="00BC1C14"/>
    <w:rsid w:val="00BC72DE"/>
    <w:rsid w:val="00BD14E0"/>
    <w:rsid w:val="00BD585E"/>
    <w:rsid w:val="00BD754A"/>
    <w:rsid w:val="00BE3B49"/>
    <w:rsid w:val="00BF796B"/>
    <w:rsid w:val="00C067AC"/>
    <w:rsid w:val="00C127E9"/>
    <w:rsid w:val="00C1439A"/>
    <w:rsid w:val="00C202DE"/>
    <w:rsid w:val="00C2646B"/>
    <w:rsid w:val="00C353D6"/>
    <w:rsid w:val="00C43A21"/>
    <w:rsid w:val="00C529AE"/>
    <w:rsid w:val="00C569AB"/>
    <w:rsid w:val="00C63855"/>
    <w:rsid w:val="00C653D1"/>
    <w:rsid w:val="00C66A18"/>
    <w:rsid w:val="00C66E3F"/>
    <w:rsid w:val="00C80B79"/>
    <w:rsid w:val="00C83A6C"/>
    <w:rsid w:val="00C917B4"/>
    <w:rsid w:val="00CA5090"/>
    <w:rsid w:val="00CA6DDB"/>
    <w:rsid w:val="00CB0D22"/>
    <w:rsid w:val="00CB6B4F"/>
    <w:rsid w:val="00CD2936"/>
    <w:rsid w:val="00CE19D2"/>
    <w:rsid w:val="00CE497E"/>
    <w:rsid w:val="00CE6601"/>
    <w:rsid w:val="00CE6783"/>
    <w:rsid w:val="00CE6C02"/>
    <w:rsid w:val="00CF0260"/>
    <w:rsid w:val="00CF13AB"/>
    <w:rsid w:val="00CF5DF7"/>
    <w:rsid w:val="00D0095F"/>
    <w:rsid w:val="00D06DD8"/>
    <w:rsid w:val="00D07B14"/>
    <w:rsid w:val="00D110C4"/>
    <w:rsid w:val="00D111EF"/>
    <w:rsid w:val="00D42C17"/>
    <w:rsid w:val="00D46C02"/>
    <w:rsid w:val="00D5141E"/>
    <w:rsid w:val="00D52388"/>
    <w:rsid w:val="00D67774"/>
    <w:rsid w:val="00D67FC7"/>
    <w:rsid w:val="00D70F4D"/>
    <w:rsid w:val="00D73217"/>
    <w:rsid w:val="00D73B75"/>
    <w:rsid w:val="00D74FDF"/>
    <w:rsid w:val="00D7666F"/>
    <w:rsid w:val="00D903F1"/>
    <w:rsid w:val="00D95BE6"/>
    <w:rsid w:val="00D95F18"/>
    <w:rsid w:val="00DA3E9A"/>
    <w:rsid w:val="00DA5173"/>
    <w:rsid w:val="00DB42B0"/>
    <w:rsid w:val="00DB44C6"/>
    <w:rsid w:val="00DC0640"/>
    <w:rsid w:val="00DC4D49"/>
    <w:rsid w:val="00DD0556"/>
    <w:rsid w:val="00DD5647"/>
    <w:rsid w:val="00DD6D92"/>
    <w:rsid w:val="00DD701C"/>
    <w:rsid w:val="00DE42E9"/>
    <w:rsid w:val="00DE59EF"/>
    <w:rsid w:val="00DE6D1B"/>
    <w:rsid w:val="00DF150B"/>
    <w:rsid w:val="00DF2C6B"/>
    <w:rsid w:val="00DF45FD"/>
    <w:rsid w:val="00DF5AE9"/>
    <w:rsid w:val="00E031B9"/>
    <w:rsid w:val="00E04C64"/>
    <w:rsid w:val="00E14BE0"/>
    <w:rsid w:val="00E15EDD"/>
    <w:rsid w:val="00E20A77"/>
    <w:rsid w:val="00E21D5F"/>
    <w:rsid w:val="00E237F0"/>
    <w:rsid w:val="00E255E4"/>
    <w:rsid w:val="00E27705"/>
    <w:rsid w:val="00E3130F"/>
    <w:rsid w:val="00E33558"/>
    <w:rsid w:val="00E35425"/>
    <w:rsid w:val="00E42313"/>
    <w:rsid w:val="00E52AA3"/>
    <w:rsid w:val="00E62BE3"/>
    <w:rsid w:val="00E67FC0"/>
    <w:rsid w:val="00E700B0"/>
    <w:rsid w:val="00E752CB"/>
    <w:rsid w:val="00E829C7"/>
    <w:rsid w:val="00E91FBA"/>
    <w:rsid w:val="00E92AB9"/>
    <w:rsid w:val="00E92DD4"/>
    <w:rsid w:val="00E95C85"/>
    <w:rsid w:val="00E9718A"/>
    <w:rsid w:val="00EA00D1"/>
    <w:rsid w:val="00EA126C"/>
    <w:rsid w:val="00EC7FC3"/>
    <w:rsid w:val="00ED1D3D"/>
    <w:rsid w:val="00ED3F99"/>
    <w:rsid w:val="00EE3892"/>
    <w:rsid w:val="00EE7661"/>
    <w:rsid w:val="00EF4303"/>
    <w:rsid w:val="00EF6D81"/>
    <w:rsid w:val="00F06348"/>
    <w:rsid w:val="00F151FA"/>
    <w:rsid w:val="00F202B1"/>
    <w:rsid w:val="00F22895"/>
    <w:rsid w:val="00F26CAA"/>
    <w:rsid w:val="00F270FF"/>
    <w:rsid w:val="00F63B60"/>
    <w:rsid w:val="00F653FB"/>
    <w:rsid w:val="00F65780"/>
    <w:rsid w:val="00F700E3"/>
    <w:rsid w:val="00F70B95"/>
    <w:rsid w:val="00F8009E"/>
    <w:rsid w:val="00F877EA"/>
    <w:rsid w:val="00F92CF0"/>
    <w:rsid w:val="00F94620"/>
    <w:rsid w:val="00F97C3A"/>
    <w:rsid w:val="00FA23EF"/>
    <w:rsid w:val="00FA2F66"/>
    <w:rsid w:val="00FA45D5"/>
    <w:rsid w:val="00FB4290"/>
    <w:rsid w:val="00FB4656"/>
    <w:rsid w:val="00FC647E"/>
    <w:rsid w:val="00FD7A88"/>
    <w:rsid w:val="00FE355A"/>
    <w:rsid w:val="00FF0DDE"/>
    <w:rsid w:val="00FF2F1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394727"/>
    <w:pPr>
      <w:keepNext/>
      <w:keepLines/>
      <w:numPr>
        <w:numId w:val="8"/>
      </w:numPr>
      <w:spacing w:before="240" w:after="240"/>
      <w:ind w:left="-992" w:hanging="142"/>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D7405"/>
    <w:pPr>
      <w:numPr>
        <w:ilvl w:val="1"/>
        <w:numId w:val="8"/>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9D7405"/>
    <w:pPr>
      <w:numPr>
        <w:ilvl w:val="2"/>
        <w:numId w:val="8"/>
      </w:numPr>
      <w:tabs>
        <w:tab w:val="left" w:pos="426"/>
      </w:tabs>
      <w:spacing w:before="24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8"/>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8"/>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8"/>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8"/>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394727"/>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D7405"/>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9D7405"/>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6"/>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7"/>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758">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78213291">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11175105">
      <w:bodyDiv w:val="1"/>
      <w:marLeft w:val="0"/>
      <w:marRight w:val="0"/>
      <w:marTop w:val="0"/>
      <w:marBottom w:val="0"/>
      <w:divBdr>
        <w:top w:val="none" w:sz="0" w:space="0" w:color="auto"/>
        <w:left w:val="none" w:sz="0" w:space="0" w:color="auto"/>
        <w:bottom w:val="none" w:sz="0" w:space="0" w:color="auto"/>
        <w:right w:val="none" w:sz="0" w:space="0" w:color="auto"/>
      </w:divBdr>
    </w:div>
    <w:div w:id="115179446">
      <w:bodyDiv w:val="1"/>
      <w:marLeft w:val="0"/>
      <w:marRight w:val="0"/>
      <w:marTop w:val="0"/>
      <w:marBottom w:val="0"/>
      <w:divBdr>
        <w:top w:val="none" w:sz="0" w:space="0" w:color="auto"/>
        <w:left w:val="none" w:sz="0" w:space="0" w:color="auto"/>
        <w:bottom w:val="none" w:sz="0" w:space="0" w:color="auto"/>
        <w:right w:val="none" w:sz="0" w:space="0" w:color="auto"/>
      </w:divBdr>
      <w:divsChild>
        <w:div w:id="77096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26384">
      <w:bodyDiv w:val="1"/>
      <w:marLeft w:val="0"/>
      <w:marRight w:val="0"/>
      <w:marTop w:val="0"/>
      <w:marBottom w:val="0"/>
      <w:divBdr>
        <w:top w:val="none" w:sz="0" w:space="0" w:color="auto"/>
        <w:left w:val="none" w:sz="0" w:space="0" w:color="auto"/>
        <w:bottom w:val="none" w:sz="0" w:space="0" w:color="auto"/>
        <w:right w:val="none" w:sz="0" w:space="0" w:color="auto"/>
      </w:divBdr>
    </w:div>
    <w:div w:id="157964239">
      <w:bodyDiv w:val="1"/>
      <w:marLeft w:val="0"/>
      <w:marRight w:val="0"/>
      <w:marTop w:val="0"/>
      <w:marBottom w:val="0"/>
      <w:divBdr>
        <w:top w:val="none" w:sz="0" w:space="0" w:color="auto"/>
        <w:left w:val="none" w:sz="0" w:space="0" w:color="auto"/>
        <w:bottom w:val="none" w:sz="0" w:space="0" w:color="auto"/>
        <w:right w:val="none" w:sz="0" w:space="0" w:color="auto"/>
      </w:divBdr>
    </w:div>
    <w:div w:id="170533250">
      <w:bodyDiv w:val="1"/>
      <w:marLeft w:val="0"/>
      <w:marRight w:val="0"/>
      <w:marTop w:val="0"/>
      <w:marBottom w:val="0"/>
      <w:divBdr>
        <w:top w:val="none" w:sz="0" w:space="0" w:color="auto"/>
        <w:left w:val="none" w:sz="0" w:space="0" w:color="auto"/>
        <w:bottom w:val="none" w:sz="0" w:space="0" w:color="auto"/>
        <w:right w:val="none" w:sz="0" w:space="0" w:color="auto"/>
      </w:divBdr>
    </w:div>
    <w:div w:id="177353155">
      <w:bodyDiv w:val="1"/>
      <w:marLeft w:val="0"/>
      <w:marRight w:val="0"/>
      <w:marTop w:val="0"/>
      <w:marBottom w:val="0"/>
      <w:divBdr>
        <w:top w:val="none" w:sz="0" w:space="0" w:color="auto"/>
        <w:left w:val="none" w:sz="0" w:space="0" w:color="auto"/>
        <w:bottom w:val="none" w:sz="0" w:space="0" w:color="auto"/>
        <w:right w:val="none" w:sz="0" w:space="0" w:color="auto"/>
      </w:divBdr>
    </w:div>
    <w:div w:id="205141068">
      <w:bodyDiv w:val="1"/>
      <w:marLeft w:val="0"/>
      <w:marRight w:val="0"/>
      <w:marTop w:val="0"/>
      <w:marBottom w:val="0"/>
      <w:divBdr>
        <w:top w:val="none" w:sz="0" w:space="0" w:color="auto"/>
        <w:left w:val="none" w:sz="0" w:space="0" w:color="auto"/>
        <w:bottom w:val="none" w:sz="0" w:space="0" w:color="auto"/>
        <w:right w:val="none" w:sz="0" w:space="0" w:color="auto"/>
      </w:divBdr>
    </w:div>
    <w:div w:id="229198234">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53444293">
      <w:bodyDiv w:val="1"/>
      <w:marLeft w:val="0"/>
      <w:marRight w:val="0"/>
      <w:marTop w:val="0"/>
      <w:marBottom w:val="0"/>
      <w:divBdr>
        <w:top w:val="none" w:sz="0" w:space="0" w:color="auto"/>
        <w:left w:val="none" w:sz="0" w:space="0" w:color="auto"/>
        <w:bottom w:val="none" w:sz="0" w:space="0" w:color="auto"/>
        <w:right w:val="none" w:sz="0" w:space="0" w:color="auto"/>
      </w:divBdr>
    </w:div>
    <w:div w:id="278070688">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317609567">
      <w:bodyDiv w:val="1"/>
      <w:marLeft w:val="0"/>
      <w:marRight w:val="0"/>
      <w:marTop w:val="0"/>
      <w:marBottom w:val="0"/>
      <w:divBdr>
        <w:top w:val="none" w:sz="0" w:space="0" w:color="auto"/>
        <w:left w:val="none" w:sz="0" w:space="0" w:color="auto"/>
        <w:bottom w:val="none" w:sz="0" w:space="0" w:color="auto"/>
        <w:right w:val="none" w:sz="0" w:space="0" w:color="auto"/>
      </w:divBdr>
    </w:div>
    <w:div w:id="320164604">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50883556">
      <w:bodyDiv w:val="1"/>
      <w:marLeft w:val="0"/>
      <w:marRight w:val="0"/>
      <w:marTop w:val="0"/>
      <w:marBottom w:val="0"/>
      <w:divBdr>
        <w:top w:val="none" w:sz="0" w:space="0" w:color="auto"/>
        <w:left w:val="none" w:sz="0" w:space="0" w:color="auto"/>
        <w:bottom w:val="none" w:sz="0" w:space="0" w:color="auto"/>
        <w:right w:val="none" w:sz="0" w:space="0" w:color="auto"/>
      </w:divBdr>
    </w:div>
    <w:div w:id="379981392">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8891328">
      <w:bodyDiv w:val="1"/>
      <w:marLeft w:val="0"/>
      <w:marRight w:val="0"/>
      <w:marTop w:val="0"/>
      <w:marBottom w:val="0"/>
      <w:divBdr>
        <w:top w:val="none" w:sz="0" w:space="0" w:color="auto"/>
        <w:left w:val="none" w:sz="0" w:space="0" w:color="auto"/>
        <w:bottom w:val="none" w:sz="0" w:space="0" w:color="auto"/>
        <w:right w:val="none" w:sz="0" w:space="0" w:color="auto"/>
      </w:divBdr>
    </w:div>
    <w:div w:id="413162772">
      <w:bodyDiv w:val="1"/>
      <w:marLeft w:val="0"/>
      <w:marRight w:val="0"/>
      <w:marTop w:val="0"/>
      <w:marBottom w:val="0"/>
      <w:divBdr>
        <w:top w:val="none" w:sz="0" w:space="0" w:color="auto"/>
        <w:left w:val="none" w:sz="0" w:space="0" w:color="auto"/>
        <w:bottom w:val="none" w:sz="0" w:space="0" w:color="auto"/>
        <w:right w:val="none" w:sz="0" w:space="0" w:color="auto"/>
      </w:divBdr>
    </w:div>
    <w:div w:id="415131721">
      <w:bodyDiv w:val="1"/>
      <w:marLeft w:val="0"/>
      <w:marRight w:val="0"/>
      <w:marTop w:val="0"/>
      <w:marBottom w:val="0"/>
      <w:divBdr>
        <w:top w:val="none" w:sz="0" w:space="0" w:color="auto"/>
        <w:left w:val="none" w:sz="0" w:space="0" w:color="auto"/>
        <w:bottom w:val="none" w:sz="0" w:space="0" w:color="auto"/>
        <w:right w:val="none" w:sz="0" w:space="0" w:color="auto"/>
      </w:divBdr>
    </w:div>
    <w:div w:id="459494398">
      <w:bodyDiv w:val="1"/>
      <w:marLeft w:val="0"/>
      <w:marRight w:val="0"/>
      <w:marTop w:val="0"/>
      <w:marBottom w:val="0"/>
      <w:divBdr>
        <w:top w:val="none" w:sz="0" w:space="0" w:color="auto"/>
        <w:left w:val="none" w:sz="0" w:space="0" w:color="auto"/>
        <w:bottom w:val="none" w:sz="0" w:space="0" w:color="auto"/>
        <w:right w:val="none" w:sz="0" w:space="0" w:color="auto"/>
      </w:divBdr>
    </w:div>
    <w:div w:id="460997042">
      <w:bodyDiv w:val="1"/>
      <w:marLeft w:val="0"/>
      <w:marRight w:val="0"/>
      <w:marTop w:val="0"/>
      <w:marBottom w:val="0"/>
      <w:divBdr>
        <w:top w:val="none" w:sz="0" w:space="0" w:color="auto"/>
        <w:left w:val="none" w:sz="0" w:space="0" w:color="auto"/>
        <w:bottom w:val="none" w:sz="0" w:space="0" w:color="auto"/>
        <w:right w:val="none" w:sz="0" w:space="0" w:color="auto"/>
      </w:divBdr>
      <w:divsChild>
        <w:div w:id="1796557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511660">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89293655">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08369319">
      <w:bodyDiv w:val="1"/>
      <w:marLeft w:val="0"/>
      <w:marRight w:val="0"/>
      <w:marTop w:val="0"/>
      <w:marBottom w:val="0"/>
      <w:divBdr>
        <w:top w:val="none" w:sz="0" w:space="0" w:color="auto"/>
        <w:left w:val="none" w:sz="0" w:space="0" w:color="auto"/>
        <w:bottom w:val="none" w:sz="0" w:space="0" w:color="auto"/>
        <w:right w:val="none" w:sz="0" w:space="0" w:color="auto"/>
      </w:divBdr>
      <w:divsChild>
        <w:div w:id="799415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5659724">
      <w:bodyDiv w:val="1"/>
      <w:marLeft w:val="0"/>
      <w:marRight w:val="0"/>
      <w:marTop w:val="0"/>
      <w:marBottom w:val="0"/>
      <w:divBdr>
        <w:top w:val="none" w:sz="0" w:space="0" w:color="auto"/>
        <w:left w:val="none" w:sz="0" w:space="0" w:color="auto"/>
        <w:bottom w:val="none" w:sz="0" w:space="0" w:color="auto"/>
        <w:right w:val="none" w:sz="0" w:space="0" w:color="auto"/>
      </w:divBdr>
    </w:div>
    <w:div w:id="521820934">
      <w:bodyDiv w:val="1"/>
      <w:marLeft w:val="0"/>
      <w:marRight w:val="0"/>
      <w:marTop w:val="0"/>
      <w:marBottom w:val="0"/>
      <w:divBdr>
        <w:top w:val="none" w:sz="0" w:space="0" w:color="auto"/>
        <w:left w:val="none" w:sz="0" w:space="0" w:color="auto"/>
        <w:bottom w:val="none" w:sz="0" w:space="0" w:color="auto"/>
        <w:right w:val="none" w:sz="0" w:space="0" w:color="auto"/>
      </w:divBdr>
    </w:div>
    <w:div w:id="526063688">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598030059">
      <w:bodyDiv w:val="1"/>
      <w:marLeft w:val="0"/>
      <w:marRight w:val="0"/>
      <w:marTop w:val="0"/>
      <w:marBottom w:val="0"/>
      <w:divBdr>
        <w:top w:val="none" w:sz="0" w:space="0" w:color="auto"/>
        <w:left w:val="none" w:sz="0" w:space="0" w:color="auto"/>
        <w:bottom w:val="none" w:sz="0" w:space="0" w:color="auto"/>
        <w:right w:val="none" w:sz="0" w:space="0" w:color="auto"/>
      </w:divBdr>
    </w:div>
    <w:div w:id="606737369">
      <w:bodyDiv w:val="1"/>
      <w:marLeft w:val="0"/>
      <w:marRight w:val="0"/>
      <w:marTop w:val="0"/>
      <w:marBottom w:val="0"/>
      <w:divBdr>
        <w:top w:val="none" w:sz="0" w:space="0" w:color="auto"/>
        <w:left w:val="none" w:sz="0" w:space="0" w:color="auto"/>
        <w:bottom w:val="none" w:sz="0" w:space="0" w:color="auto"/>
        <w:right w:val="none" w:sz="0" w:space="0" w:color="auto"/>
      </w:divBdr>
    </w:div>
    <w:div w:id="634682782">
      <w:bodyDiv w:val="1"/>
      <w:marLeft w:val="0"/>
      <w:marRight w:val="0"/>
      <w:marTop w:val="0"/>
      <w:marBottom w:val="0"/>
      <w:divBdr>
        <w:top w:val="none" w:sz="0" w:space="0" w:color="auto"/>
        <w:left w:val="none" w:sz="0" w:space="0" w:color="auto"/>
        <w:bottom w:val="none" w:sz="0" w:space="0" w:color="auto"/>
        <w:right w:val="none" w:sz="0" w:space="0" w:color="auto"/>
      </w:divBdr>
    </w:div>
    <w:div w:id="644819125">
      <w:bodyDiv w:val="1"/>
      <w:marLeft w:val="0"/>
      <w:marRight w:val="0"/>
      <w:marTop w:val="0"/>
      <w:marBottom w:val="0"/>
      <w:divBdr>
        <w:top w:val="none" w:sz="0" w:space="0" w:color="auto"/>
        <w:left w:val="none" w:sz="0" w:space="0" w:color="auto"/>
        <w:bottom w:val="none" w:sz="0" w:space="0" w:color="auto"/>
        <w:right w:val="none" w:sz="0" w:space="0" w:color="auto"/>
      </w:divBdr>
    </w:div>
    <w:div w:id="657073925">
      <w:bodyDiv w:val="1"/>
      <w:marLeft w:val="0"/>
      <w:marRight w:val="0"/>
      <w:marTop w:val="0"/>
      <w:marBottom w:val="0"/>
      <w:divBdr>
        <w:top w:val="none" w:sz="0" w:space="0" w:color="auto"/>
        <w:left w:val="none" w:sz="0" w:space="0" w:color="auto"/>
        <w:bottom w:val="none" w:sz="0" w:space="0" w:color="auto"/>
        <w:right w:val="none" w:sz="0" w:space="0" w:color="auto"/>
      </w:divBdr>
    </w:div>
    <w:div w:id="674844785">
      <w:bodyDiv w:val="1"/>
      <w:marLeft w:val="0"/>
      <w:marRight w:val="0"/>
      <w:marTop w:val="0"/>
      <w:marBottom w:val="0"/>
      <w:divBdr>
        <w:top w:val="none" w:sz="0" w:space="0" w:color="auto"/>
        <w:left w:val="none" w:sz="0" w:space="0" w:color="auto"/>
        <w:bottom w:val="none" w:sz="0" w:space="0" w:color="auto"/>
        <w:right w:val="none" w:sz="0" w:space="0" w:color="auto"/>
      </w:divBdr>
    </w:div>
    <w:div w:id="701982417">
      <w:bodyDiv w:val="1"/>
      <w:marLeft w:val="0"/>
      <w:marRight w:val="0"/>
      <w:marTop w:val="0"/>
      <w:marBottom w:val="0"/>
      <w:divBdr>
        <w:top w:val="none" w:sz="0" w:space="0" w:color="auto"/>
        <w:left w:val="none" w:sz="0" w:space="0" w:color="auto"/>
        <w:bottom w:val="none" w:sz="0" w:space="0" w:color="auto"/>
        <w:right w:val="none" w:sz="0" w:space="0" w:color="auto"/>
      </w:divBdr>
    </w:div>
    <w:div w:id="736438768">
      <w:bodyDiv w:val="1"/>
      <w:marLeft w:val="0"/>
      <w:marRight w:val="0"/>
      <w:marTop w:val="0"/>
      <w:marBottom w:val="0"/>
      <w:divBdr>
        <w:top w:val="none" w:sz="0" w:space="0" w:color="auto"/>
        <w:left w:val="none" w:sz="0" w:space="0" w:color="auto"/>
        <w:bottom w:val="none" w:sz="0" w:space="0" w:color="auto"/>
        <w:right w:val="none" w:sz="0" w:space="0" w:color="auto"/>
      </w:divBdr>
    </w:div>
    <w:div w:id="74214184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3276080">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7134352">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8664785">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870339053">
      <w:bodyDiv w:val="1"/>
      <w:marLeft w:val="0"/>
      <w:marRight w:val="0"/>
      <w:marTop w:val="0"/>
      <w:marBottom w:val="0"/>
      <w:divBdr>
        <w:top w:val="none" w:sz="0" w:space="0" w:color="auto"/>
        <w:left w:val="none" w:sz="0" w:space="0" w:color="auto"/>
        <w:bottom w:val="none" w:sz="0" w:space="0" w:color="auto"/>
        <w:right w:val="none" w:sz="0" w:space="0" w:color="auto"/>
      </w:divBdr>
    </w:div>
    <w:div w:id="880018131">
      <w:bodyDiv w:val="1"/>
      <w:marLeft w:val="0"/>
      <w:marRight w:val="0"/>
      <w:marTop w:val="0"/>
      <w:marBottom w:val="0"/>
      <w:divBdr>
        <w:top w:val="none" w:sz="0" w:space="0" w:color="auto"/>
        <w:left w:val="none" w:sz="0" w:space="0" w:color="auto"/>
        <w:bottom w:val="none" w:sz="0" w:space="0" w:color="auto"/>
        <w:right w:val="none" w:sz="0" w:space="0" w:color="auto"/>
      </w:divBdr>
    </w:div>
    <w:div w:id="909118558">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0793320">
      <w:bodyDiv w:val="1"/>
      <w:marLeft w:val="0"/>
      <w:marRight w:val="0"/>
      <w:marTop w:val="0"/>
      <w:marBottom w:val="0"/>
      <w:divBdr>
        <w:top w:val="none" w:sz="0" w:space="0" w:color="auto"/>
        <w:left w:val="none" w:sz="0" w:space="0" w:color="auto"/>
        <w:bottom w:val="none" w:sz="0" w:space="0" w:color="auto"/>
        <w:right w:val="none" w:sz="0" w:space="0" w:color="auto"/>
      </w:divBdr>
    </w:div>
    <w:div w:id="984166625">
      <w:bodyDiv w:val="1"/>
      <w:marLeft w:val="0"/>
      <w:marRight w:val="0"/>
      <w:marTop w:val="0"/>
      <w:marBottom w:val="0"/>
      <w:divBdr>
        <w:top w:val="none" w:sz="0" w:space="0" w:color="auto"/>
        <w:left w:val="none" w:sz="0" w:space="0" w:color="auto"/>
        <w:bottom w:val="none" w:sz="0" w:space="0" w:color="auto"/>
        <w:right w:val="none" w:sz="0" w:space="0" w:color="auto"/>
      </w:divBdr>
    </w:div>
    <w:div w:id="1006176721">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22844080">
      <w:bodyDiv w:val="1"/>
      <w:marLeft w:val="0"/>
      <w:marRight w:val="0"/>
      <w:marTop w:val="0"/>
      <w:marBottom w:val="0"/>
      <w:divBdr>
        <w:top w:val="none" w:sz="0" w:space="0" w:color="auto"/>
        <w:left w:val="none" w:sz="0" w:space="0" w:color="auto"/>
        <w:bottom w:val="none" w:sz="0" w:space="0" w:color="auto"/>
        <w:right w:val="none" w:sz="0" w:space="0" w:color="auto"/>
      </w:divBdr>
    </w:div>
    <w:div w:id="1154418276">
      <w:bodyDiv w:val="1"/>
      <w:marLeft w:val="0"/>
      <w:marRight w:val="0"/>
      <w:marTop w:val="0"/>
      <w:marBottom w:val="0"/>
      <w:divBdr>
        <w:top w:val="none" w:sz="0" w:space="0" w:color="auto"/>
        <w:left w:val="none" w:sz="0" w:space="0" w:color="auto"/>
        <w:bottom w:val="none" w:sz="0" w:space="0" w:color="auto"/>
        <w:right w:val="none" w:sz="0" w:space="0" w:color="auto"/>
      </w:divBdr>
    </w:div>
    <w:div w:id="1158612639">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8911552">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249007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4968203">
      <w:bodyDiv w:val="1"/>
      <w:marLeft w:val="0"/>
      <w:marRight w:val="0"/>
      <w:marTop w:val="0"/>
      <w:marBottom w:val="0"/>
      <w:divBdr>
        <w:top w:val="none" w:sz="0" w:space="0" w:color="auto"/>
        <w:left w:val="none" w:sz="0" w:space="0" w:color="auto"/>
        <w:bottom w:val="none" w:sz="0" w:space="0" w:color="auto"/>
        <w:right w:val="none" w:sz="0" w:space="0" w:color="auto"/>
      </w:divBdr>
      <w:divsChild>
        <w:div w:id="513082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7853726">
      <w:bodyDiv w:val="1"/>
      <w:marLeft w:val="0"/>
      <w:marRight w:val="0"/>
      <w:marTop w:val="0"/>
      <w:marBottom w:val="0"/>
      <w:divBdr>
        <w:top w:val="none" w:sz="0" w:space="0" w:color="auto"/>
        <w:left w:val="none" w:sz="0" w:space="0" w:color="auto"/>
        <w:bottom w:val="none" w:sz="0" w:space="0" w:color="auto"/>
        <w:right w:val="none" w:sz="0" w:space="0" w:color="auto"/>
      </w:divBdr>
    </w:div>
    <w:div w:id="1324432633">
      <w:bodyDiv w:val="1"/>
      <w:marLeft w:val="0"/>
      <w:marRight w:val="0"/>
      <w:marTop w:val="0"/>
      <w:marBottom w:val="0"/>
      <w:divBdr>
        <w:top w:val="none" w:sz="0" w:space="0" w:color="auto"/>
        <w:left w:val="none" w:sz="0" w:space="0" w:color="auto"/>
        <w:bottom w:val="none" w:sz="0" w:space="0" w:color="auto"/>
        <w:right w:val="none" w:sz="0" w:space="0" w:color="auto"/>
      </w:divBdr>
    </w:div>
    <w:div w:id="1385956123">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392919701">
      <w:bodyDiv w:val="1"/>
      <w:marLeft w:val="0"/>
      <w:marRight w:val="0"/>
      <w:marTop w:val="0"/>
      <w:marBottom w:val="0"/>
      <w:divBdr>
        <w:top w:val="none" w:sz="0" w:space="0" w:color="auto"/>
        <w:left w:val="none" w:sz="0" w:space="0" w:color="auto"/>
        <w:bottom w:val="none" w:sz="0" w:space="0" w:color="auto"/>
        <w:right w:val="none" w:sz="0" w:space="0" w:color="auto"/>
      </w:divBdr>
    </w:div>
    <w:div w:id="1438208906">
      <w:bodyDiv w:val="1"/>
      <w:marLeft w:val="0"/>
      <w:marRight w:val="0"/>
      <w:marTop w:val="0"/>
      <w:marBottom w:val="0"/>
      <w:divBdr>
        <w:top w:val="none" w:sz="0" w:space="0" w:color="auto"/>
        <w:left w:val="none" w:sz="0" w:space="0" w:color="auto"/>
        <w:bottom w:val="none" w:sz="0" w:space="0" w:color="auto"/>
        <w:right w:val="none" w:sz="0" w:space="0" w:color="auto"/>
      </w:divBdr>
    </w:div>
    <w:div w:id="1470977156">
      <w:bodyDiv w:val="1"/>
      <w:marLeft w:val="0"/>
      <w:marRight w:val="0"/>
      <w:marTop w:val="0"/>
      <w:marBottom w:val="0"/>
      <w:divBdr>
        <w:top w:val="none" w:sz="0" w:space="0" w:color="auto"/>
        <w:left w:val="none" w:sz="0" w:space="0" w:color="auto"/>
        <w:bottom w:val="none" w:sz="0" w:space="0" w:color="auto"/>
        <w:right w:val="none" w:sz="0" w:space="0" w:color="auto"/>
      </w:divBdr>
    </w:div>
    <w:div w:id="149529639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3567541">
      <w:bodyDiv w:val="1"/>
      <w:marLeft w:val="0"/>
      <w:marRight w:val="0"/>
      <w:marTop w:val="0"/>
      <w:marBottom w:val="0"/>
      <w:divBdr>
        <w:top w:val="none" w:sz="0" w:space="0" w:color="auto"/>
        <w:left w:val="none" w:sz="0" w:space="0" w:color="auto"/>
        <w:bottom w:val="none" w:sz="0" w:space="0" w:color="auto"/>
        <w:right w:val="none" w:sz="0" w:space="0" w:color="auto"/>
      </w:divBdr>
    </w:div>
    <w:div w:id="1521972858">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3199155">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18441298">
      <w:bodyDiv w:val="1"/>
      <w:marLeft w:val="0"/>
      <w:marRight w:val="0"/>
      <w:marTop w:val="0"/>
      <w:marBottom w:val="0"/>
      <w:divBdr>
        <w:top w:val="none" w:sz="0" w:space="0" w:color="auto"/>
        <w:left w:val="none" w:sz="0" w:space="0" w:color="auto"/>
        <w:bottom w:val="none" w:sz="0" w:space="0" w:color="auto"/>
        <w:right w:val="none" w:sz="0" w:space="0" w:color="auto"/>
      </w:divBdr>
    </w:div>
    <w:div w:id="1636181687">
      <w:bodyDiv w:val="1"/>
      <w:marLeft w:val="0"/>
      <w:marRight w:val="0"/>
      <w:marTop w:val="0"/>
      <w:marBottom w:val="0"/>
      <w:divBdr>
        <w:top w:val="none" w:sz="0" w:space="0" w:color="auto"/>
        <w:left w:val="none" w:sz="0" w:space="0" w:color="auto"/>
        <w:bottom w:val="none" w:sz="0" w:space="0" w:color="auto"/>
        <w:right w:val="none" w:sz="0" w:space="0" w:color="auto"/>
      </w:divBdr>
    </w:div>
    <w:div w:id="1644774457">
      <w:bodyDiv w:val="1"/>
      <w:marLeft w:val="0"/>
      <w:marRight w:val="0"/>
      <w:marTop w:val="0"/>
      <w:marBottom w:val="0"/>
      <w:divBdr>
        <w:top w:val="none" w:sz="0" w:space="0" w:color="auto"/>
        <w:left w:val="none" w:sz="0" w:space="0" w:color="auto"/>
        <w:bottom w:val="none" w:sz="0" w:space="0" w:color="auto"/>
        <w:right w:val="none" w:sz="0" w:space="0" w:color="auto"/>
      </w:divBdr>
    </w:div>
    <w:div w:id="1646935514">
      <w:bodyDiv w:val="1"/>
      <w:marLeft w:val="0"/>
      <w:marRight w:val="0"/>
      <w:marTop w:val="0"/>
      <w:marBottom w:val="0"/>
      <w:divBdr>
        <w:top w:val="none" w:sz="0" w:space="0" w:color="auto"/>
        <w:left w:val="none" w:sz="0" w:space="0" w:color="auto"/>
        <w:bottom w:val="none" w:sz="0" w:space="0" w:color="auto"/>
        <w:right w:val="none" w:sz="0" w:space="0" w:color="auto"/>
      </w:divBdr>
    </w:div>
    <w:div w:id="1660886916">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725789711">
      <w:bodyDiv w:val="1"/>
      <w:marLeft w:val="0"/>
      <w:marRight w:val="0"/>
      <w:marTop w:val="0"/>
      <w:marBottom w:val="0"/>
      <w:divBdr>
        <w:top w:val="none" w:sz="0" w:space="0" w:color="auto"/>
        <w:left w:val="none" w:sz="0" w:space="0" w:color="auto"/>
        <w:bottom w:val="none" w:sz="0" w:space="0" w:color="auto"/>
        <w:right w:val="none" w:sz="0" w:space="0" w:color="auto"/>
      </w:divBdr>
    </w:div>
    <w:div w:id="1732390217">
      <w:bodyDiv w:val="1"/>
      <w:marLeft w:val="0"/>
      <w:marRight w:val="0"/>
      <w:marTop w:val="0"/>
      <w:marBottom w:val="0"/>
      <w:divBdr>
        <w:top w:val="none" w:sz="0" w:space="0" w:color="auto"/>
        <w:left w:val="none" w:sz="0" w:space="0" w:color="auto"/>
        <w:bottom w:val="none" w:sz="0" w:space="0" w:color="auto"/>
        <w:right w:val="none" w:sz="0" w:space="0" w:color="auto"/>
      </w:divBdr>
    </w:div>
    <w:div w:id="1797219051">
      <w:bodyDiv w:val="1"/>
      <w:marLeft w:val="0"/>
      <w:marRight w:val="0"/>
      <w:marTop w:val="0"/>
      <w:marBottom w:val="0"/>
      <w:divBdr>
        <w:top w:val="none" w:sz="0" w:space="0" w:color="auto"/>
        <w:left w:val="none" w:sz="0" w:space="0" w:color="auto"/>
        <w:bottom w:val="none" w:sz="0" w:space="0" w:color="auto"/>
        <w:right w:val="none" w:sz="0" w:space="0" w:color="auto"/>
      </w:divBdr>
    </w:div>
    <w:div w:id="1847011581">
      <w:bodyDiv w:val="1"/>
      <w:marLeft w:val="0"/>
      <w:marRight w:val="0"/>
      <w:marTop w:val="0"/>
      <w:marBottom w:val="0"/>
      <w:divBdr>
        <w:top w:val="none" w:sz="0" w:space="0" w:color="auto"/>
        <w:left w:val="none" w:sz="0" w:space="0" w:color="auto"/>
        <w:bottom w:val="none" w:sz="0" w:space="0" w:color="auto"/>
        <w:right w:val="none" w:sz="0" w:space="0" w:color="auto"/>
      </w:divBdr>
    </w:div>
    <w:div w:id="18788125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3808932">
      <w:bodyDiv w:val="1"/>
      <w:marLeft w:val="0"/>
      <w:marRight w:val="0"/>
      <w:marTop w:val="0"/>
      <w:marBottom w:val="0"/>
      <w:divBdr>
        <w:top w:val="none" w:sz="0" w:space="0" w:color="auto"/>
        <w:left w:val="none" w:sz="0" w:space="0" w:color="auto"/>
        <w:bottom w:val="none" w:sz="0" w:space="0" w:color="auto"/>
        <w:right w:val="none" w:sz="0" w:space="0" w:color="auto"/>
      </w:divBdr>
    </w:div>
    <w:div w:id="1941719563">
      <w:bodyDiv w:val="1"/>
      <w:marLeft w:val="0"/>
      <w:marRight w:val="0"/>
      <w:marTop w:val="0"/>
      <w:marBottom w:val="0"/>
      <w:divBdr>
        <w:top w:val="none" w:sz="0" w:space="0" w:color="auto"/>
        <w:left w:val="none" w:sz="0" w:space="0" w:color="auto"/>
        <w:bottom w:val="none" w:sz="0" w:space="0" w:color="auto"/>
        <w:right w:val="none" w:sz="0" w:space="0" w:color="auto"/>
      </w:divBdr>
    </w:div>
    <w:div w:id="2001079113">
      <w:bodyDiv w:val="1"/>
      <w:marLeft w:val="0"/>
      <w:marRight w:val="0"/>
      <w:marTop w:val="0"/>
      <w:marBottom w:val="0"/>
      <w:divBdr>
        <w:top w:val="none" w:sz="0" w:space="0" w:color="auto"/>
        <w:left w:val="none" w:sz="0" w:space="0" w:color="auto"/>
        <w:bottom w:val="none" w:sz="0" w:space="0" w:color="auto"/>
        <w:right w:val="none" w:sz="0" w:space="0" w:color="auto"/>
      </w:divBdr>
    </w:div>
    <w:div w:id="2008290461">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305722">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effe.ta-cayenne@juradm.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E0A95-5C20-487E-84F7-FAE32A2EE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2608</Words>
  <Characters>14345</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 (EA)</cp:lastModifiedBy>
  <cp:revision>2</cp:revision>
  <dcterms:created xsi:type="dcterms:W3CDTF">2025-11-19T13:16:00Z</dcterms:created>
  <dcterms:modified xsi:type="dcterms:W3CDTF">2025-11-19T13:16:00Z</dcterms:modified>
</cp:coreProperties>
</file>